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Times New Roman" w:hAnsi="Times New Roman" w:eastAsia="方正小标宋简体"/>
          <w:bCs w:val="0"/>
          <w:kern w:val="2"/>
          <w:sz w:val="44"/>
        </w:rPr>
      </w:pPr>
      <w:r>
        <w:rPr>
          <w:rFonts w:hint="eastAsia" w:ascii="Times New Roman" w:hAnsi="Times New Roman" w:eastAsia="方正小标宋简体"/>
          <w:bCs w:val="0"/>
          <w:kern w:val="2"/>
          <w:sz w:val="44"/>
        </w:rPr>
        <w:t>化妆品安全评估基本结论示</w:t>
      </w:r>
      <w:bookmarkStart w:id="6" w:name="_GoBack"/>
      <w:bookmarkEnd w:id="6"/>
      <w:r>
        <w:rPr>
          <w:rFonts w:hint="eastAsia" w:ascii="Times New Roman" w:hAnsi="Times New Roman" w:eastAsia="方正小标宋简体"/>
          <w:bCs w:val="0"/>
          <w:kern w:val="2"/>
          <w:sz w:val="44"/>
        </w:rPr>
        <w:t>例</w:t>
      </w:r>
    </w:p>
    <w:p>
      <w:pPr>
        <w:widowControl w:val="0"/>
        <w:adjustRightInd w:val="0"/>
        <w:snapToGrid w:val="0"/>
        <w:spacing w:after="0" w:line="560" w:lineRule="exact"/>
        <w:jc w:val="center"/>
        <w:outlineLvl w:val="1"/>
        <w:rPr>
          <w:rFonts w:ascii="Times New Roman" w:hAnsi="Times New Roman" w:eastAsia="方正小标宋简体" w:cs="Times New Roman"/>
          <w:kern w:val="0"/>
          <w:sz w:val="44"/>
          <w:szCs w:val="44"/>
          <w14:ligatures w14:val="none"/>
        </w:rPr>
      </w:pPr>
    </w:p>
    <w:p>
      <w:pPr>
        <w:adjustRightInd w:val="0"/>
        <w:snapToGrid w:val="0"/>
        <w:spacing w:before="120" w:line="560" w:lineRule="exact"/>
        <w:ind w:firstLine="560"/>
        <w:jc w:val="right"/>
        <w:rPr>
          <w:rFonts w:ascii="Times New Roman" w:hAnsi="Times New Roman" w:eastAsia="仿宋_GB2312" w:cs="Times New Roman"/>
          <w:sz w:val="21"/>
          <w:szCs w:val="21"/>
        </w:rPr>
      </w:pPr>
      <w:r>
        <w:rPr>
          <w:rFonts w:ascii="Times New Roman" w:hAnsi="Times New Roman" w:eastAsia="仿宋_GB2312" w:cs="Times New Roman"/>
          <w:sz w:val="21"/>
          <w:szCs w:val="21"/>
        </w:rPr>
        <w:t xml:space="preserve">                                  注：本示例格式和内容仅供参考</w:t>
      </w:r>
    </w:p>
    <w:p>
      <w:pPr>
        <w:adjustRightInd w:val="0"/>
        <w:snapToGrid w:val="0"/>
        <w:spacing w:before="120" w:line="560" w:lineRule="exact"/>
        <w:ind w:firstLine="560"/>
        <w:rPr>
          <w:rFonts w:ascii="Times New Roman" w:hAnsi="Times New Roman" w:eastAsia="仿宋_GB2312" w:cs="Times New Roman"/>
          <w:sz w:val="28"/>
          <w:szCs w:val="28"/>
        </w:rPr>
      </w:pPr>
    </w:p>
    <w:p>
      <w:pPr>
        <w:adjustRightInd w:val="0"/>
        <w:snapToGrid w:val="0"/>
        <w:spacing w:before="120" w:line="560" w:lineRule="exact"/>
        <w:ind w:firstLine="560"/>
        <w:rPr>
          <w:rFonts w:ascii="Times New Roman" w:hAnsi="Times New Roman" w:eastAsia="仿宋_GB2312" w:cs="Times New Roman"/>
          <w:sz w:val="28"/>
          <w:szCs w:val="28"/>
        </w:rPr>
      </w:pPr>
    </w:p>
    <w:p>
      <w:pPr>
        <w:pStyle w:val="27"/>
        <w:numPr>
          <w:ilvl w:val="0"/>
          <w:numId w:val="0"/>
        </w:numPr>
        <w:adjustRightInd w:val="0"/>
        <w:snapToGrid w:val="0"/>
        <w:spacing w:line="560" w:lineRule="exact"/>
        <w:rPr>
          <w:rFonts w:ascii="Times New Roman" w:eastAsia="仿宋_GB2312"/>
          <w:sz w:val="28"/>
          <w:szCs w:val="28"/>
        </w:rPr>
      </w:pPr>
    </w:p>
    <w:p>
      <w:pPr>
        <w:pStyle w:val="27"/>
        <w:numPr>
          <w:ilvl w:val="0"/>
          <w:numId w:val="0"/>
        </w:numPr>
        <w:adjustRightInd w:val="0"/>
        <w:snapToGrid w:val="0"/>
        <w:spacing w:line="560" w:lineRule="exact"/>
        <w:rPr>
          <w:rFonts w:ascii="Times New Roman" w:eastAsia="仿宋_GB2312"/>
          <w:sz w:val="32"/>
          <w:szCs w:val="32"/>
        </w:rPr>
      </w:pPr>
      <w:r>
        <w:rPr>
          <w:rFonts w:ascii="Times New Roman" w:eastAsia="仿宋_GB2312"/>
          <w:sz w:val="28"/>
          <w:szCs w:val="28"/>
        </w:rPr>
        <w:t xml:space="preserve">  </w:t>
      </w:r>
      <w:r>
        <w:rPr>
          <w:rFonts w:ascii="Times New Roman" w:eastAsia="仿宋_GB2312"/>
          <w:sz w:val="32"/>
          <w:szCs w:val="32"/>
        </w:rPr>
        <w:t xml:space="preserve">              题    目：</w:t>
      </w:r>
      <w:r>
        <w:rPr>
          <w:rFonts w:ascii="Times New Roman" w:eastAsia="仿宋_GB2312"/>
          <w:sz w:val="32"/>
          <w:szCs w:val="32"/>
          <w:u w:val="single"/>
        </w:rPr>
        <w:t>（</w:t>
      </w:r>
      <w:bookmarkStart w:id="0" w:name="OLE_LINK1"/>
      <w:r>
        <w:rPr>
          <w:rFonts w:hint="eastAsia" w:ascii="Times New Roman" w:eastAsia="仿宋_GB2312"/>
          <w:bCs/>
          <w:sz w:val="32"/>
          <w:szCs w:val="32"/>
          <w:u w:val="single"/>
        </w:rPr>
        <w:t>xxxx</w:t>
      </w:r>
      <w:bookmarkEnd w:id="0"/>
      <w:r>
        <w:rPr>
          <w:rFonts w:hint="eastAsia" w:ascii="Times New Roman" w:eastAsia="仿宋_GB2312"/>
          <w:bCs/>
          <w:sz w:val="32"/>
          <w:szCs w:val="32"/>
          <w:u w:val="single"/>
        </w:rPr>
        <w:t>香水</w:t>
      </w:r>
      <w:r>
        <w:rPr>
          <w:rFonts w:ascii="Times New Roman" w:eastAsia="仿宋_GB2312"/>
          <w:sz w:val="32"/>
          <w:szCs w:val="32"/>
          <w:u w:val="single"/>
        </w:rPr>
        <w:t>）安全评估基本</w:t>
      </w:r>
      <w:r>
        <w:rPr>
          <w:rFonts w:hint="eastAsia" w:ascii="Times New Roman" w:eastAsia="仿宋_GB2312"/>
          <w:sz w:val="32"/>
          <w:szCs w:val="32"/>
          <w:u w:val="single"/>
        </w:rPr>
        <w:t>结论</w:t>
      </w:r>
    </w:p>
    <w:p>
      <w:pPr>
        <w:pStyle w:val="27"/>
        <w:numPr>
          <w:ilvl w:val="0"/>
          <w:numId w:val="0"/>
        </w:numPr>
        <w:adjustRightInd w:val="0"/>
        <w:snapToGrid w:val="0"/>
        <w:spacing w:line="560" w:lineRule="exact"/>
        <w:ind w:firstLine="499" w:firstLineChars="156"/>
        <w:rPr>
          <w:rFonts w:ascii="Times New Roman" w:eastAsia="仿宋_GB2312"/>
          <w:sz w:val="32"/>
          <w:szCs w:val="32"/>
        </w:rPr>
      </w:pPr>
      <w:r>
        <w:rPr>
          <w:rFonts w:ascii="Times New Roman" w:eastAsia="仿宋_GB2312"/>
          <w:sz w:val="32"/>
          <w:szCs w:val="32"/>
        </w:rPr>
        <w:t xml:space="preserve">    注册人</w:t>
      </w:r>
      <w:r>
        <w:rPr>
          <w:rFonts w:hint="eastAsia" w:ascii="Times New Roman" w:eastAsia="仿宋_GB2312"/>
          <w:sz w:val="32"/>
          <w:szCs w:val="32"/>
        </w:rPr>
        <w:t>或</w:t>
      </w:r>
      <w:r>
        <w:rPr>
          <w:rFonts w:ascii="Times New Roman" w:eastAsia="仿宋_GB2312"/>
          <w:sz w:val="32"/>
          <w:szCs w:val="32"/>
        </w:rPr>
        <w:t>备案人名称：</w:t>
      </w:r>
      <w:bookmarkStart w:id="1" w:name="OLE_LINK2"/>
      <w:r>
        <w:rPr>
          <w:rFonts w:hint="eastAsia" w:ascii="Times New Roman" w:eastAsia="仿宋_GB2312"/>
          <w:bCs/>
          <w:sz w:val="32"/>
          <w:szCs w:val="32"/>
          <w:u w:val="single"/>
        </w:rPr>
        <w:t>xxxxxxxx</w:t>
      </w:r>
      <w:bookmarkEnd w:id="1"/>
      <w:r>
        <w:rPr>
          <w:rFonts w:ascii="Times New Roman" w:eastAsia="仿宋_GB2312"/>
          <w:sz w:val="32"/>
          <w:szCs w:val="32"/>
          <w:u w:val="single"/>
        </w:rPr>
        <w:t xml:space="preserve">                   </w:t>
      </w:r>
    </w:p>
    <w:p>
      <w:pPr>
        <w:pStyle w:val="27"/>
        <w:numPr>
          <w:ilvl w:val="0"/>
          <w:numId w:val="0"/>
        </w:numPr>
        <w:adjustRightInd w:val="0"/>
        <w:snapToGrid w:val="0"/>
        <w:spacing w:line="560" w:lineRule="exact"/>
        <w:ind w:firstLine="499" w:firstLineChars="156"/>
        <w:rPr>
          <w:rFonts w:ascii="Times New Roman" w:eastAsia="仿宋_GB2312"/>
          <w:sz w:val="32"/>
          <w:szCs w:val="32"/>
        </w:rPr>
      </w:pPr>
      <w:r>
        <w:rPr>
          <w:rFonts w:ascii="Times New Roman" w:eastAsia="仿宋_GB2312"/>
          <w:sz w:val="32"/>
          <w:szCs w:val="32"/>
        </w:rPr>
        <w:t xml:space="preserve">    注册人</w:t>
      </w:r>
      <w:r>
        <w:rPr>
          <w:rFonts w:hint="eastAsia" w:ascii="Times New Roman" w:eastAsia="仿宋_GB2312"/>
          <w:sz w:val="32"/>
          <w:szCs w:val="32"/>
        </w:rPr>
        <w:t>或</w:t>
      </w:r>
      <w:r>
        <w:rPr>
          <w:rFonts w:ascii="Times New Roman" w:eastAsia="仿宋_GB2312"/>
          <w:sz w:val="32"/>
          <w:szCs w:val="32"/>
        </w:rPr>
        <w:t>备案人地址：</w:t>
      </w:r>
      <w:r>
        <w:rPr>
          <w:rFonts w:hint="eastAsia" w:ascii="Times New Roman" w:eastAsia="仿宋_GB2312"/>
          <w:bCs/>
          <w:sz w:val="32"/>
          <w:szCs w:val="32"/>
          <w:u w:val="single"/>
        </w:rPr>
        <w:t>xxxxxxxx</w:t>
      </w:r>
      <w:r>
        <w:rPr>
          <w:rFonts w:ascii="Times New Roman" w:eastAsia="仿宋_GB2312"/>
          <w:sz w:val="32"/>
          <w:szCs w:val="32"/>
          <w:u w:val="single"/>
        </w:rPr>
        <w:t xml:space="preserve">                        </w:t>
      </w:r>
    </w:p>
    <w:p>
      <w:pPr>
        <w:pStyle w:val="27"/>
        <w:numPr>
          <w:ilvl w:val="0"/>
          <w:numId w:val="0"/>
        </w:numPr>
        <w:adjustRightInd w:val="0"/>
        <w:snapToGrid w:val="0"/>
        <w:spacing w:line="560" w:lineRule="exact"/>
        <w:ind w:firstLine="1920" w:firstLineChars="600"/>
        <w:rPr>
          <w:rFonts w:ascii="Times New Roman" w:eastAsia="仿宋_GB2312"/>
          <w:sz w:val="32"/>
          <w:szCs w:val="32"/>
        </w:rPr>
      </w:pPr>
      <w:r>
        <w:rPr>
          <w:rFonts w:ascii="Times New Roman" w:eastAsia="仿宋_GB2312"/>
          <w:sz w:val="32"/>
          <w:szCs w:val="32"/>
        </w:rPr>
        <w:t xml:space="preserve">    评估单位：</w:t>
      </w:r>
      <w:r>
        <w:rPr>
          <w:rFonts w:hint="eastAsia" w:ascii="Times New Roman" w:eastAsia="仿宋_GB2312"/>
          <w:bCs/>
          <w:sz w:val="32"/>
          <w:szCs w:val="32"/>
          <w:u w:val="single"/>
        </w:rPr>
        <w:t>xxxxxxxx</w:t>
      </w:r>
      <w:r>
        <w:rPr>
          <w:rFonts w:ascii="Times New Roman" w:eastAsia="仿宋_GB2312"/>
          <w:sz w:val="32"/>
          <w:szCs w:val="32"/>
          <w:u w:val="single"/>
        </w:rPr>
        <w:t xml:space="preserve">                                                       </w:t>
      </w:r>
    </w:p>
    <w:p>
      <w:pPr>
        <w:pStyle w:val="27"/>
        <w:numPr>
          <w:ilvl w:val="0"/>
          <w:numId w:val="0"/>
        </w:numPr>
        <w:adjustRightInd w:val="0"/>
        <w:snapToGrid w:val="0"/>
        <w:spacing w:line="560" w:lineRule="exact"/>
        <w:ind w:firstLine="1920" w:firstLineChars="600"/>
        <w:rPr>
          <w:rFonts w:ascii="Times New Roman" w:eastAsia="仿宋_GB2312"/>
          <w:sz w:val="32"/>
          <w:szCs w:val="32"/>
          <w:u w:val="single"/>
        </w:rPr>
      </w:pPr>
      <w:r>
        <w:rPr>
          <w:rFonts w:ascii="Times New Roman" w:eastAsia="仿宋_GB2312"/>
          <w:sz w:val="32"/>
          <w:szCs w:val="32"/>
        </w:rPr>
        <w:t xml:space="preserve">    评 估 人：</w:t>
      </w:r>
      <w:r>
        <w:rPr>
          <w:rFonts w:hint="eastAsia" w:ascii="Times New Roman" w:eastAsia="仿宋_GB2312"/>
          <w:bCs/>
          <w:sz w:val="32"/>
          <w:szCs w:val="32"/>
          <w:u w:val="single"/>
        </w:rPr>
        <w:t>xxxxxxxx</w:t>
      </w:r>
      <w:r>
        <w:rPr>
          <w:rFonts w:ascii="Times New Roman" w:eastAsia="仿宋_GB2312"/>
          <w:sz w:val="32"/>
          <w:szCs w:val="32"/>
          <w:u w:val="single"/>
        </w:rPr>
        <w:t xml:space="preserve">                               </w:t>
      </w:r>
    </w:p>
    <w:p>
      <w:pPr>
        <w:pStyle w:val="27"/>
        <w:numPr>
          <w:ilvl w:val="0"/>
          <w:numId w:val="0"/>
        </w:numPr>
        <w:adjustRightInd w:val="0"/>
        <w:snapToGrid w:val="0"/>
        <w:spacing w:line="560" w:lineRule="exact"/>
        <w:ind w:firstLine="320"/>
        <w:rPr>
          <w:rFonts w:ascii="Times New Roman" w:eastAsia="仿宋_GB2312"/>
          <w:sz w:val="32"/>
          <w:szCs w:val="32"/>
        </w:rPr>
      </w:pPr>
      <w:r>
        <w:rPr>
          <w:rFonts w:ascii="Times New Roman" w:eastAsia="仿宋_GB2312"/>
          <w:sz w:val="32"/>
          <w:szCs w:val="32"/>
        </w:rPr>
        <w:t xml:space="preserve">              评估日期：</w:t>
      </w:r>
      <w:r>
        <w:rPr>
          <w:rFonts w:ascii="Times New Roman" w:eastAsia="仿宋_GB2312"/>
          <w:sz w:val="32"/>
          <w:szCs w:val="32"/>
          <w:u w:val="single"/>
        </w:rPr>
        <w:t xml:space="preserve">  </w:t>
      </w:r>
      <w:bookmarkStart w:id="2" w:name="OLE_LINK3"/>
      <w:bookmarkStart w:id="3" w:name="OLE_LINK4"/>
      <w:r>
        <w:rPr>
          <w:rFonts w:hint="eastAsia" w:ascii="Times New Roman" w:eastAsia="仿宋_GB2312"/>
          <w:bCs/>
          <w:sz w:val="32"/>
          <w:szCs w:val="32"/>
          <w:u w:val="single"/>
        </w:rPr>
        <w:t>xxx</w:t>
      </w:r>
      <w:bookmarkEnd w:id="2"/>
      <w:r>
        <w:rPr>
          <w:rFonts w:hint="eastAsia" w:ascii="Times New Roman" w:eastAsia="仿宋_GB2312"/>
          <w:bCs/>
          <w:sz w:val="32"/>
          <w:szCs w:val="32"/>
          <w:u w:val="single"/>
        </w:rPr>
        <w:t>x</w:t>
      </w:r>
      <w:bookmarkEnd w:id="3"/>
      <w:r>
        <w:rPr>
          <w:rFonts w:ascii="Times New Roman" w:eastAsia="仿宋_GB2312"/>
          <w:sz w:val="32"/>
          <w:szCs w:val="32"/>
          <w:u w:val="single"/>
        </w:rPr>
        <w:t xml:space="preserve">    </w:t>
      </w:r>
      <w:r>
        <w:rPr>
          <w:rFonts w:ascii="Times New Roman" w:eastAsia="仿宋_GB2312"/>
          <w:sz w:val="32"/>
          <w:szCs w:val="32"/>
        </w:rPr>
        <w:t>年</w:t>
      </w:r>
      <w:r>
        <w:rPr>
          <w:rFonts w:ascii="Times New Roman" w:eastAsia="仿宋_GB2312"/>
          <w:sz w:val="32"/>
          <w:szCs w:val="32"/>
          <w:u w:val="single"/>
        </w:rPr>
        <w:t xml:space="preserve">  </w:t>
      </w:r>
      <w:bookmarkStart w:id="4" w:name="OLE_LINK5"/>
      <w:r>
        <w:rPr>
          <w:rFonts w:hint="eastAsia" w:ascii="Times New Roman" w:eastAsia="仿宋_GB2312"/>
          <w:bCs/>
          <w:sz w:val="32"/>
          <w:szCs w:val="32"/>
          <w:u w:val="single"/>
        </w:rPr>
        <w:t>xx</w:t>
      </w:r>
      <w:bookmarkEnd w:id="4"/>
      <w:r>
        <w:rPr>
          <w:rFonts w:ascii="Times New Roman" w:eastAsia="仿宋_GB2312"/>
          <w:sz w:val="32"/>
          <w:szCs w:val="32"/>
          <w:u w:val="single"/>
        </w:rPr>
        <w:t xml:space="preserve">   </w:t>
      </w:r>
      <w:r>
        <w:rPr>
          <w:rFonts w:ascii="Times New Roman" w:eastAsia="仿宋_GB2312"/>
          <w:sz w:val="32"/>
          <w:szCs w:val="32"/>
        </w:rPr>
        <w:t>月</w:t>
      </w:r>
      <w:r>
        <w:rPr>
          <w:rFonts w:ascii="Times New Roman" w:eastAsia="仿宋_GB2312"/>
          <w:sz w:val="32"/>
          <w:szCs w:val="32"/>
          <w:u w:val="single"/>
        </w:rPr>
        <w:t xml:space="preserve">  </w:t>
      </w:r>
      <w:r>
        <w:rPr>
          <w:rFonts w:hint="eastAsia" w:ascii="Times New Roman" w:eastAsia="仿宋_GB2312"/>
          <w:bCs/>
          <w:sz w:val="32"/>
          <w:szCs w:val="32"/>
          <w:u w:val="single"/>
        </w:rPr>
        <w:t>xx</w:t>
      </w:r>
      <w:r>
        <w:rPr>
          <w:rFonts w:ascii="Times New Roman" w:eastAsia="仿宋_GB2312"/>
          <w:sz w:val="32"/>
          <w:szCs w:val="32"/>
          <w:u w:val="single"/>
        </w:rPr>
        <w:t xml:space="preserve">  </w:t>
      </w:r>
      <w:r>
        <w:rPr>
          <w:rFonts w:ascii="Times New Roman" w:eastAsia="仿宋_GB2312"/>
          <w:sz w:val="32"/>
          <w:szCs w:val="32"/>
        </w:rPr>
        <w:t>日</w:t>
      </w:r>
    </w:p>
    <w:p>
      <w:pPr>
        <w:pStyle w:val="27"/>
        <w:numPr>
          <w:ilvl w:val="0"/>
          <w:numId w:val="0"/>
        </w:numPr>
        <w:adjustRightInd w:val="0"/>
        <w:snapToGrid w:val="0"/>
        <w:spacing w:line="560" w:lineRule="exact"/>
        <w:ind w:left="403" w:leftChars="192" w:firstLine="1280" w:firstLineChars="400"/>
        <w:rPr>
          <w:rFonts w:ascii="Times New Roman" w:eastAsia="仿宋_GB2312"/>
          <w:strike/>
          <w:sz w:val="32"/>
          <w:szCs w:val="32"/>
          <w:u w:val="single"/>
        </w:rPr>
      </w:pPr>
      <w:r>
        <w:rPr>
          <w:rFonts w:ascii="Times New Roman" w:eastAsia="仿宋_GB2312"/>
          <w:sz w:val="32"/>
          <w:szCs w:val="32"/>
        </w:rPr>
        <w:t>质量安全负责人：</w:t>
      </w:r>
      <w:r>
        <w:rPr>
          <w:rFonts w:ascii="Times New Roman" w:eastAsia="仿宋_GB2312"/>
          <w:sz w:val="32"/>
          <w:szCs w:val="32"/>
          <w:u w:val="single"/>
        </w:rPr>
        <w:t xml:space="preserve">  </w:t>
      </w:r>
      <w:r>
        <w:rPr>
          <w:rFonts w:hint="eastAsia" w:ascii="Times New Roman" w:eastAsia="仿宋_GB2312"/>
          <w:bCs/>
          <w:sz w:val="32"/>
          <w:szCs w:val="32"/>
          <w:u w:val="single"/>
        </w:rPr>
        <w:t>xxx</w:t>
      </w:r>
      <w:r>
        <w:rPr>
          <w:rFonts w:ascii="Times New Roman" w:eastAsia="仿宋_GB2312"/>
          <w:sz w:val="32"/>
          <w:szCs w:val="32"/>
          <w:u w:val="single"/>
        </w:rPr>
        <w:t xml:space="preserve">                   </w:t>
      </w:r>
      <w:r>
        <w:rPr>
          <w:rFonts w:ascii="Times New Roman" w:eastAsia="仿宋_GB2312"/>
          <w:sz w:val="32"/>
          <w:szCs w:val="32"/>
        </w:rPr>
        <w:t xml:space="preserve"> </w:t>
      </w:r>
    </w:p>
    <w:p>
      <w:pPr>
        <w:pStyle w:val="27"/>
        <w:numPr>
          <w:ilvl w:val="0"/>
          <w:numId w:val="0"/>
        </w:numPr>
        <w:adjustRightInd w:val="0"/>
        <w:snapToGrid w:val="0"/>
        <w:spacing w:line="560" w:lineRule="exact"/>
        <w:ind w:firstLine="320"/>
        <w:rPr>
          <w:rFonts w:ascii="Times New Roman" w:eastAsia="仿宋_GB2312"/>
          <w:sz w:val="32"/>
          <w:szCs w:val="32"/>
        </w:rPr>
      </w:pPr>
      <w:r>
        <w:rPr>
          <w:rFonts w:ascii="Times New Roman" w:eastAsia="仿宋_GB2312"/>
          <w:sz w:val="32"/>
          <w:szCs w:val="32"/>
        </w:rPr>
        <w:t xml:space="preserve">              自查日期：</w:t>
      </w:r>
      <w:r>
        <w:rPr>
          <w:rFonts w:ascii="Times New Roman" w:eastAsia="仿宋_GB2312"/>
          <w:sz w:val="32"/>
          <w:szCs w:val="32"/>
          <w:u w:val="single"/>
        </w:rPr>
        <w:t xml:space="preserve">  </w:t>
      </w:r>
      <w:r>
        <w:rPr>
          <w:rFonts w:hint="eastAsia" w:ascii="Times New Roman" w:eastAsia="仿宋_GB2312"/>
          <w:bCs/>
          <w:sz w:val="32"/>
          <w:szCs w:val="32"/>
          <w:u w:val="single"/>
        </w:rPr>
        <w:t>xxxx</w:t>
      </w:r>
      <w:r>
        <w:rPr>
          <w:rFonts w:ascii="Times New Roman" w:eastAsia="仿宋_GB2312"/>
          <w:sz w:val="32"/>
          <w:szCs w:val="32"/>
          <w:u w:val="single"/>
        </w:rPr>
        <w:t xml:space="preserve">  </w:t>
      </w:r>
      <w:r>
        <w:rPr>
          <w:rFonts w:ascii="Times New Roman" w:eastAsia="仿宋_GB2312"/>
          <w:sz w:val="32"/>
          <w:szCs w:val="32"/>
        </w:rPr>
        <w:t>年</w:t>
      </w:r>
      <w:r>
        <w:rPr>
          <w:rFonts w:ascii="Times New Roman" w:eastAsia="仿宋_GB2312"/>
          <w:sz w:val="32"/>
          <w:szCs w:val="32"/>
          <w:u w:val="single"/>
        </w:rPr>
        <w:t xml:space="preserve">  </w:t>
      </w:r>
      <w:r>
        <w:rPr>
          <w:rFonts w:hint="eastAsia" w:ascii="Times New Roman" w:eastAsia="仿宋_GB2312"/>
          <w:bCs/>
          <w:sz w:val="32"/>
          <w:szCs w:val="32"/>
          <w:u w:val="single"/>
        </w:rPr>
        <w:t>xx</w:t>
      </w:r>
      <w:r>
        <w:rPr>
          <w:rFonts w:ascii="Times New Roman" w:eastAsia="仿宋_GB2312"/>
          <w:sz w:val="32"/>
          <w:szCs w:val="32"/>
          <w:u w:val="single"/>
        </w:rPr>
        <w:t xml:space="preserve">  </w:t>
      </w:r>
      <w:r>
        <w:rPr>
          <w:rFonts w:ascii="Times New Roman" w:eastAsia="仿宋_GB2312"/>
          <w:sz w:val="32"/>
          <w:szCs w:val="32"/>
        </w:rPr>
        <w:t>月</w:t>
      </w:r>
      <w:r>
        <w:rPr>
          <w:rFonts w:ascii="Times New Roman" w:eastAsia="仿宋_GB2312"/>
          <w:sz w:val="32"/>
          <w:szCs w:val="32"/>
          <w:u w:val="single"/>
        </w:rPr>
        <w:t xml:space="preserve">  </w:t>
      </w:r>
      <w:r>
        <w:rPr>
          <w:rFonts w:hint="eastAsia" w:ascii="Times New Roman" w:eastAsia="仿宋_GB2312"/>
          <w:bCs/>
          <w:sz w:val="32"/>
          <w:szCs w:val="32"/>
          <w:u w:val="single"/>
        </w:rPr>
        <w:t>xx</w:t>
      </w:r>
      <w:r>
        <w:rPr>
          <w:rFonts w:ascii="Times New Roman" w:eastAsia="仿宋_GB2312"/>
          <w:sz w:val="32"/>
          <w:szCs w:val="32"/>
          <w:u w:val="single"/>
        </w:rPr>
        <w:t xml:space="preserve">  </w:t>
      </w:r>
      <w:r>
        <w:rPr>
          <w:rFonts w:ascii="Times New Roman" w:eastAsia="仿宋_GB2312"/>
          <w:sz w:val="32"/>
          <w:szCs w:val="32"/>
        </w:rPr>
        <w:t>日</w:t>
      </w:r>
    </w:p>
    <w:p>
      <w:pPr>
        <w:pStyle w:val="27"/>
        <w:numPr>
          <w:ilvl w:val="0"/>
          <w:numId w:val="0"/>
        </w:numPr>
        <w:adjustRightInd w:val="0"/>
        <w:snapToGrid w:val="0"/>
        <w:spacing w:line="360" w:lineRule="auto"/>
        <w:ind w:firstLine="320"/>
        <w:rPr>
          <w:rFonts w:ascii="Times New Roman" w:eastAsia="仿宋_GB2312"/>
          <w:sz w:val="28"/>
          <w:szCs w:val="28"/>
        </w:rPr>
      </w:pPr>
    </w:p>
    <w:p>
      <w:pPr>
        <w:spacing w:line="700" w:lineRule="atLeast"/>
        <w:rPr>
          <w:rFonts w:ascii="Times New Roman" w:hAnsi="Times New Roman" w:eastAsia="仿宋_GB2312" w:cs="Times New Roman"/>
          <w:b/>
          <w:sz w:val="32"/>
          <w:szCs w:val="32"/>
        </w:rPr>
      </w:pPr>
      <w:r>
        <w:rPr>
          <w:rFonts w:ascii="Times New Roman" w:hAnsi="Times New Roman" w:eastAsia="仿宋_GB2312" w:cs="Times New Roman"/>
          <w:sz w:val="28"/>
          <w:szCs w:val="28"/>
        </w:rPr>
        <w:br w:type="page"/>
      </w:r>
      <w:r>
        <w:rPr>
          <w:rFonts w:ascii="Times New Roman" w:hAnsi="Times New Roman" w:eastAsia="仿宋_GB2312" w:cs="Times New Roman"/>
          <w:sz w:val="32"/>
          <w:szCs w:val="32"/>
        </w:rPr>
        <w:t xml:space="preserve">   </w:t>
      </w:r>
      <w:r>
        <w:rPr>
          <w:rFonts w:ascii="Times New Roman" w:hAnsi="Times New Roman" w:eastAsia="黑体" w:cs="Times New Roman"/>
          <w:sz w:val="32"/>
          <w:szCs w:val="32"/>
        </w:rPr>
        <w:t xml:space="preserve"> </w:t>
      </w:r>
      <w:r>
        <w:rPr>
          <w:rFonts w:hint="eastAsia" w:ascii="Times New Roman" w:hAnsi="Times New Roman" w:eastAsia="黑体" w:cs="Times New Roman"/>
          <w:bCs/>
          <w:sz w:val="32"/>
          <w:szCs w:val="32"/>
        </w:rPr>
        <w:t>一、资料提交情形说明</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本产品为普通化妆品，属于《化妆品安全评估资料提交指南》中的第二类化妆品中第</w:t>
      </w:r>
      <w:r>
        <w:rPr>
          <w:rFonts w:hint="eastAsia" w:eastAsia="仿宋_GB2312" w:cs="Times New Roman"/>
          <w:sz w:val="32"/>
          <w:szCs w:val="32"/>
          <w:lang w:val="en-US" w:eastAsia="zh-CN"/>
        </w:rPr>
        <w:t>二</w:t>
      </w:r>
      <w:r>
        <w:rPr>
          <w:rFonts w:hint="eastAsia" w:ascii="Times New Roman" w:hAnsi="Times New Roman" w:eastAsia="仿宋_GB2312" w:cs="Times New Roman"/>
          <w:sz w:val="32"/>
          <w:szCs w:val="32"/>
        </w:rPr>
        <w:t>种情形。本企业的质量管理体系运行良好，因此，本次备案提交化妆品安全评估基本结论，安全评估报告存档备查。</w:t>
      </w:r>
    </w:p>
    <w:p>
      <w:pPr>
        <w:adjustRightInd w:val="0"/>
        <w:snapToGrid w:val="0"/>
        <w:spacing w:line="700" w:lineRule="atLeast"/>
        <w:rPr>
          <w:rFonts w:ascii="Times New Roman" w:hAnsi="Times New Roman" w:eastAsia="仿宋_GB2312" w:cs="Times New Roman"/>
          <w:b/>
          <w:sz w:val="32"/>
          <w:szCs w:val="32"/>
        </w:rPr>
      </w:pPr>
      <w:r>
        <w:rPr>
          <w:rFonts w:ascii="Times New Roman" w:hAnsi="Times New Roman" w:eastAsia="仿宋_GB2312" w:cs="Times New Roman"/>
          <w:sz w:val="32"/>
          <w:szCs w:val="32"/>
        </w:rPr>
        <w:t xml:space="preserve">    </w:t>
      </w:r>
      <w:r>
        <w:rPr>
          <w:rFonts w:hint="eastAsia" w:ascii="Times New Roman" w:hAnsi="Times New Roman" w:eastAsia="黑体" w:cs="Times New Roman"/>
          <w:bCs/>
          <w:sz w:val="32"/>
          <w:szCs w:val="32"/>
        </w:rPr>
        <w:t>二、化妆品安全评估摘要</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本产品</w:t>
      </w:r>
      <w:r>
        <w:rPr>
          <w:rFonts w:ascii="Times New Roman" w:hAnsi="Times New Roman" w:eastAsia="仿宋_GB2312" w:cs="Times New Roman"/>
          <w:sz w:val="32"/>
          <w:szCs w:val="32"/>
        </w:rPr>
        <w:t>为驻留类化妆品，适用于</w:t>
      </w:r>
      <w:r>
        <w:rPr>
          <w:rFonts w:hint="eastAsia" w:ascii="Times New Roman" w:hAnsi="Times New Roman" w:eastAsia="仿宋_GB2312" w:cs="Times New Roman"/>
          <w:sz w:val="32"/>
          <w:szCs w:val="32"/>
        </w:rPr>
        <w:t>躯干部位、手、足</w:t>
      </w:r>
      <w:r>
        <w:rPr>
          <w:rFonts w:ascii="Times New Roman" w:hAnsi="Times New Roman" w:eastAsia="仿宋_GB2312" w:cs="Times New Roman"/>
          <w:sz w:val="32"/>
          <w:szCs w:val="32"/>
        </w:rPr>
        <w:t>，可每日使用，参考《化妆品安全评估技术导则（2021年版）》有关规定，对产品的微生物、有害物质和稳定性等进行了检测，</w:t>
      </w:r>
      <w:r>
        <w:rPr>
          <w:rFonts w:hint="eastAsia" w:ascii="Times New Roman" w:hAnsi="Times New Roman" w:eastAsia="仿宋_GB2312" w:cs="Times New Roman"/>
          <w:sz w:val="32"/>
          <w:szCs w:val="32"/>
        </w:rPr>
        <w:t>并对配方所用的乙醇、水、香精和丁羟甲苯等4种成分进行评估，以及可能存在的甲醇等1种风险物质开展了安全评估</w:t>
      </w:r>
      <w:r>
        <w:rPr>
          <w:rFonts w:ascii="Times New Roman" w:hAnsi="Times New Roman" w:eastAsia="仿宋_GB2312" w:cs="Times New Roman"/>
          <w:sz w:val="32"/>
          <w:szCs w:val="32"/>
        </w:rPr>
        <w:t>。结果显示，该产品在正常、合理及可预见的使用情况下，不会对人体健康产生危害。</w:t>
      </w:r>
    </w:p>
    <w:p>
      <w:pPr>
        <w:adjustRightInd w:val="0"/>
        <w:snapToGrid w:val="0"/>
        <w:spacing w:line="700" w:lineRule="atLeast"/>
        <w:ind w:firstLine="640" w:firstLineChars="200"/>
        <w:rPr>
          <w:rFonts w:ascii="Times New Roman" w:hAnsi="Times New Roman" w:eastAsia="黑体" w:cs="Times New Roman"/>
          <w:bCs/>
          <w:sz w:val="32"/>
          <w:szCs w:val="32"/>
        </w:rPr>
      </w:pPr>
      <w:r>
        <w:rPr>
          <w:rFonts w:hint="eastAsia" w:ascii="Times New Roman" w:hAnsi="Times New Roman" w:eastAsia="黑体" w:cs="Times New Roman"/>
          <w:bCs/>
          <w:sz w:val="32"/>
          <w:szCs w:val="32"/>
        </w:rPr>
        <w:t>三、化妆品安全评估结论</w:t>
      </w:r>
    </w:p>
    <w:p>
      <w:pPr>
        <w:adjustRightInd w:val="0"/>
        <w:snapToGrid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按照《化妆品安全评估报告自查要点》原则和程序对化妆品中每种原料、可能存在的风险物质、化妆品稳定性、化妆品包装相容性、微生物学等内容的评估进行自查，形成安全评估报告小结（见</w:t>
      </w:r>
      <w:r>
        <w:rPr>
          <w:rFonts w:hint="eastAsia" w:eastAsia="仿宋_GB2312" w:cs="Times New Roman"/>
          <w:sz w:val="32"/>
          <w:szCs w:val="32"/>
          <w:lang w:val="en-US" w:eastAsia="zh-CN"/>
        </w:rPr>
        <w:t>附件</w:t>
      </w:r>
      <w:r>
        <w:rPr>
          <w:rFonts w:ascii="Times New Roman" w:hAnsi="Times New Roman" w:eastAsia="仿宋_GB2312" w:cs="Times New Roman"/>
          <w:sz w:val="32"/>
          <w:szCs w:val="32"/>
        </w:rPr>
        <w:t>）。</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经自查，该化妆品在正常、合理的及可预见的使用条件下不会对人体健康产生危害。</w:t>
      </w:r>
    </w:p>
    <w:p>
      <w:pPr>
        <w:spacing w:line="560" w:lineRule="exac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bCs/>
          <w:sz w:val="32"/>
          <w:szCs w:val="32"/>
        </w:rPr>
        <w:t>附</w:t>
      </w:r>
      <w:r>
        <w:rPr>
          <w:rFonts w:hint="eastAsia" w:ascii="Times New Roman" w:hAnsi="Times New Roman" w:eastAsia="仿宋_GB2312" w:cs="Times New Roman"/>
          <w:bCs/>
          <w:sz w:val="32"/>
          <w:szCs w:val="32"/>
        </w:rPr>
        <w:t>件</w:t>
      </w:r>
      <w:r>
        <w:rPr>
          <w:rFonts w:ascii="Times New Roman" w:hAnsi="Times New Roman" w:eastAsia="仿宋_GB2312" w:cs="Times New Roman"/>
          <w:bCs/>
          <w:sz w:val="32"/>
          <w:szCs w:val="32"/>
        </w:rPr>
        <w:t>：化妆品安全评估报告小结</w:t>
      </w:r>
      <w:r>
        <w:rPr>
          <w:rFonts w:hint="eastAsia" w:ascii="Times New Roman" w:hAnsi="Times New Roman" w:eastAsia="仿宋_GB2312" w:cs="Times New Roman"/>
          <w:bCs/>
          <w:sz w:val="32"/>
          <w:szCs w:val="32"/>
        </w:rPr>
        <w:t>模板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outlineLvl w:val="9"/>
        <w:rPr>
          <w:rFonts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2" w:firstLineChars="200"/>
        <w:jc w:val="both"/>
        <w:textAlignment w:val="auto"/>
        <w:outlineLvl w:val="9"/>
        <w:rPr>
          <w:rFonts w:ascii="Times New Roman" w:hAnsi="Times New Roman" w:eastAsia="仿宋_GB2312" w:cs="Times New Roman"/>
          <w:b/>
          <w:bCs/>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2" w:firstLineChars="200"/>
        <w:jc w:val="both"/>
        <w:textAlignment w:val="auto"/>
        <w:outlineLvl w:val="9"/>
        <w:rPr>
          <w:rFonts w:ascii="Times New Roman" w:hAnsi="Times New Roman" w:eastAsia="仿宋_GB2312" w:cs="Times New Roman"/>
          <w:b/>
          <w:bCs/>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质量安全负责人（签字）：xxx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日期：20xx年xx月xx日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地址：</w:t>
      </w:r>
      <w:bookmarkStart w:id="5" w:name="OLE_LINK6"/>
      <w:r>
        <w:rPr>
          <w:rFonts w:ascii="Times New Roman" w:hAnsi="Times New Roman" w:eastAsia="仿宋_GB2312" w:cs="Times New Roman"/>
          <w:sz w:val="32"/>
          <w:szCs w:val="32"/>
        </w:rPr>
        <w:t>xxxxxxxxxxxxxxxx</w:t>
      </w:r>
      <w:bookmarkEnd w:id="5"/>
      <w:r>
        <w:rPr>
          <w:rFonts w:ascii="Times New Roman" w:hAnsi="Times New Roman" w:eastAsia="仿宋_GB2312" w:cs="Times New Roman"/>
          <w:sz w:val="32"/>
          <w:szCs w:val="32"/>
        </w:rPr>
        <w:br w:type="page"/>
      </w:r>
    </w:p>
    <w:p>
      <w:pPr>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附</w:t>
      </w:r>
      <w:r>
        <w:rPr>
          <w:rFonts w:hint="eastAsia" w:ascii="Times New Roman" w:hAnsi="Times New Roman" w:eastAsia="黑体" w:cs="Times New Roman"/>
          <w:bCs/>
          <w:color w:val="000000"/>
          <w:sz w:val="32"/>
          <w:szCs w:val="32"/>
        </w:rPr>
        <w:t>件</w:t>
      </w:r>
    </w:p>
    <w:p>
      <w:pPr>
        <w:snapToGrid w:val="0"/>
        <w:spacing w:line="700" w:lineRule="exact"/>
        <w:jc w:val="center"/>
        <w:rPr>
          <w:rFonts w:ascii="Times New Roman" w:hAnsi="Times New Roman" w:eastAsia="方正小标宋简体" w:cs="Times New Roman"/>
          <w:sz w:val="44"/>
          <w:szCs w:val="44"/>
          <w14:ligatures w14:val="none"/>
        </w:rPr>
      </w:pPr>
      <w:r>
        <w:rPr>
          <w:rFonts w:hint="eastAsia" w:ascii="Times New Roman" w:hAnsi="Times New Roman" w:eastAsia="方正小标宋简体" w:cs="Times New Roman"/>
          <w:sz w:val="44"/>
          <w:szCs w:val="44"/>
          <w14:ligatures w14:val="none"/>
        </w:rPr>
        <w:t>化妆品安全评估报告小结模板</w:t>
      </w:r>
    </w:p>
    <w:tbl>
      <w:tblPr>
        <w:tblStyle w:val="14"/>
        <w:tblW w:w="945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1386"/>
        <w:gridCol w:w="5649"/>
        <w:gridCol w:w="1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lang w:bidi="ar"/>
              </w:rPr>
              <w:t>序号</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lang w:bidi="ar"/>
              </w:rPr>
              <w:t>自查项目</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ind w:firstLine="281" w:firstLineChars="100"/>
              <w:jc w:val="center"/>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lang w:bidi="ar"/>
              </w:rPr>
              <w:t>自查要点</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lang w:bidi="ar"/>
              </w:rPr>
              <w:t>自查结果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14"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质量管理体系运行情况</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autoSpaceDE w:val="0"/>
              <w:spacing w:after="0" w:line="560" w:lineRule="exact"/>
              <w:ind w:left="0"/>
              <w:contextualSpacing w:val="0"/>
              <w:jc w:val="left"/>
              <w:rPr>
                <w:rFonts w:ascii="Times New Roman" w:hAnsi="Times New Roman" w:eastAsia="仿宋_GB2312"/>
                <w:sz w:val="28"/>
                <w:szCs w:val="28"/>
              </w:rPr>
            </w:pPr>
            <w:r>
              <w:rPr>
                <w:rFonts w:hint="eastAsia" w:ascii="Times New Roman" w:hAnsi="Times New Roman" w:eastAsia="仿宋_GB2312"/>
                <w:sz w:val="28"/>
                <w:szCs w:val="28"/>
              </w:rPr>
              <w:t>本企业的质量管理体系正常运行</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14"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lang w:bidi="ar"/>
              </w:rPr>
              <w:t>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bidi="ar"/>
              </w:rPr>
              <w:t>评估报告总体要求</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autoSpaceDE w:val="0"/>
              <w:spacing w:after="0" w:line="560" w:lineRule="exact"/>
              <w:ind w:left="0"/>
              <w:contextualSpacing w:val="0"/>
              <w:jc w:val="left"/>
              <w:rPr>
                <w:rFonts w:ascii="Times New Roman" w:hAnsi="Times New Roman" w:eastAsia="仿宋_GB2312"/>
                <w:sz w:val="28"/>
                <w:szCs w:val="28"/>
              </w:rPr>
            </w:pPr>
            <w:r>
              <w:rPr>
                <w:rFonts w:hint="eastAsia" w:ascii="Times New Roman" w:hAnsi="Times New Roman" w:eastAsia="仿宋_GB2312"/>
                <w:sz w:val="28"/>
                <w:szCs w:val="28"/>
              </w:rPr>
              <w:t>注册备案信息系统中的安全评估信息应填报完整，包括评估单位、评估时间、评估摘要、产品简介、评估人员简介等。</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3"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lang w:bidi="ar"/>
              </w:rPr>
              <w:t>3</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bidi="ar"/>
              </w:rPr>
              <w:t>封面</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autoSpaceDE w:val="0"/>
              <w:spacing w:after="0" w:line="560" w:lineRule="exact"/>
              <w:ind w:left="-2"/>
              <w:contextualSpacing w:val="0"/>
              <w:rPr>
                <w:rFonts w:ascii="Times New Roman" w:hAnsi="Times New Roman" w:eastAsia="仿宋_GB2312"/>
                <w:sz w:val="28"/>
                <w:szCs w:val="28"/>
                <w:lang w:bidi="ar"/>
              </w:rPr>
            </w:pPr>
            <w:r>
              <w:rPr>
                <w:rFonts w:hint="eastAsia" w:ascii="Times New Roman" w:hAnsi="Times New Roman" w:eastAsia="仿宋_GB2312"/>
                <w:sz w:val="28"/>
                <w:szCs w:val="28"/>
                <w:lang w:bidi="ar"/>
              </w:rPr>
              <w:t>封面应明确产品名称、备案人名称、地址、评估单位、评估人和评估日期。</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64"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lang w:bidi="ar"/>
              </w:rPr>
              <w:t>4</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bidi="ar"/>
              </w:rPr>
              <w:t>摘要</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1、摘要应包括产品简要介绍，并明确依据《化妆品安全评估技术导则（2021年版）》（以下简称《导则》）</w:t>
            </w:r>
            <w:r>
              <w:rPr>
                <w:rFonts w:hint="eastAsia" w:ascii="Times New Roman" w:hAnsi="Times New Roman" w:eastAsia="仿宋_GB2312" w:cs="Times New Roman"/>
                <w:sz w:val="28"/>
                <w:szCs w:val="28"/>
                <w:lang w:bidi="ar"/>
              </w:rPr>
              <w:t>对产品中的所有原料和风险物质进行了评估，获得正确的评估结论。</w:t>
            </w:r>
          </w:p>
          <w:p>
            <w:pPr>
              <w:pStyle w:val="9"/>
              <w:widowControl w:val="0"/>
              <w:autoSpaceDE w:val="0"/>
              <w:adjustRightInd w:val="0"/>
              <w:snapToGrid w:val="0"/>
              <w:spacing w:before="0" w:beforeAutospacing="0" w:after="0" w:afterAutospacing="0" w:line="560" w:lineRule="exact"/>
              <w:rPr>
                <w:rFonts w:ascii="Times New Roman" w:hAnsi="Times New Roman" w:eastAsia="仿宋_GB2312" w:cs="Times New Roman"/>
                <w:kern w:val="2"/>
                <w:sz w:val="28"/>
                <w:szCs w:val="28"/>
              </w:rPr>
            </w:pPr>
            <w:r>
              <w:rPr>
                <w:rFonts w:ascii="Times New Roman" w:hAnsi="Times New Roman" w:eastAsia="仿宋_GB2312" w:cs="Times New Roman"/>
                <w:sz w:val="28"/>
                <w:szCs w:val="28"/>
                <w:lang w:bidi="ar"/>
              </w:rPr>
              <w:t>2</w:t>
            </w:r>
            <w:r>
              <w:rPr>
                <w:rFonts w:hint="eastAsia" w:ascii="Times New Roman" w:hAnsi="Times New Roman" w:eastAsia="仿宋_GB2312" w:cs="Times New Roman"/>
                <w:sz w:val="28"/>
                <w:szCs w:val="28"/>
                <w:lang w:bidi="ar"/>
              </w:rPr>
              <w:t>、产品安全评估结论为安全。</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5</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产品简介</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产品简介应包括产品名称、使用方法、日均使用量、产品驻留因子等内容，日均使用量、产品驻留因子应写明出处。</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92"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6</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产品配方</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所使用的成分均已列入《已使用化妆品原料目录》（以下简称《目录》）或《化妆品安全技术规范》（下称《技术规范》）；使用安全监测期内化妆品新原料的，应符合新原料的技术要求。</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8"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7.1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表</w:t>
            </w:r>
            <w:r>
              <w:rPr>
                <w:rFonts w:ascii="Times New Roman" w:hAnsi="Times New Roman" w:eastAsia="仿宋_GB2312" w:cs="Times New Roman"/>
                <w:sz w:val="28"/>
                <w:szCs w:val="28"/>
                <w:lang w:bidi="ar"/>
              </w:rPr>
              <w:t>1产品配方表</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表</w:t>
            </w:r>
            <w:r>
              <w:rPr>
                <w:rFonts w:ascii="Times New Roman" w:hAnsi="Times New Roman" w:eastAsia="仿宋_GB2312" w:cs="Times New Roman"/>
                <w:sz w:val="28"/>
                <w:szCs w:val="28"/>
                <w:lang w:bidi="ar"/>
              </w:rPr>
              <w:t>1所列配方内容应与产品资料中“产品配方”一致。</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8"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7.2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未填入配方的成分</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列出并说明未填入配方表的成分</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38"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 xml:space="preserve">7.3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表</w:t>
            </w:r>
            <w:r>
              <w:rPr>
                <w:rFonts w:ascii="Times New Roman" w:hAnsi="Times New Roman" w:eastAsia="仿宋_GB2312" w:cs="Times New Roman"/>
                <w:sz w:val="28"/>
                <w:szCs w:val="28"/>
                <w:lang w:bidi="ar"/>
              </w:rPr>
              <w:t>2产品实际成分含量表</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1、表2产品实际成分含量表应按照各成分含量递减顺序排列。</w:t>
            </w:r>
          </w:p>
          <w:p>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2</w:t>
            </w:r>
            <w:r>
              <w:rPr>
                <w:rFonts w:hint="eastAsia" w:ascii="Times New Roman" w:hAnsi="Times New Roman" w:eastAsia="仿宋_GB2312" w:cs="Times New Roman"/>
                <w:sz w:val="28"/>
                <w:szCs w:val="28"/>
                <w:lang w:bidi="ar"/>
              </w:rPr>
              <w:t>、两剂或两剂以上必须配合使用的产品，应根据产品的使用方法对混合后的原料含量进行评估。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8.1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配方中各成分的安全评估</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应对表</w:t>
            </w:r>
            <w:r>
              <w:rPr>
                <w:rFonts w:ascii="Times New Roman" w:hAnsi="Times New Roman" w:eastAsia="仿宋_GB2312" w:cs="Times New Roman"/>
                <w:sz w:val="28"/>
                <w:szCs w:val="28"/>
                <w:lang w:bidi="ar"/>
              </w:rPr>
              <w:t>2产品实际成分含量表中所有成分逐个进行安全评估。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8.2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未填入配方的成分</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对未填入配方的成分进行评估，确保该类成分不会影响原料的质量安全</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41"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color w:val="000000"/>
                <w:sz w:val="28"/>
                <w:szCs w:val="28"/>
                <w:lang w:bidi="ar"/>
              </w:rPr>
              <w:t>《化妆品安全技术规范》</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使用《技术规范》中的限用组分、准用防腐剂、准用防晒剂、准用着色剂和准用染发剂列表中的原料，符合《技术规范》要求。</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14"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color w:val="000000"/>
                <w:sz w:val="28"/>
                <w:szCs w:val="28"/>
                <w:lang w:bidi="ar"/>
              </w:rPr>
              <w:t>国内外权威机构评估结论</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1．欧盟消费者委员会（SCCS）、美国化妆品原料评价委员会（CIR）等权威机构的相关评估资料进行分析，在符合我国化妆品相关法规及使用条件下，采用相关评估结论。</w:t>
            </w:r>
          </w:p>
          <w:p>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2．对有限制使用条件的原料，满足限制条件的情况下采用其评估结论。</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82"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9.3</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color w:val="000000"/>
                <w:sz w:val="28"/>
                <w:szCs w:val="28"/>
                <w:lang w:bidi="ar"/>
              </w:rPr>
            </w:pPr>
            <w:r>
              <w:rPr>
                <w:rFonts w:hint="eastAsia" w:ascii="Times New Roman" w:hAnsi="Times New Roman" w:eastAsia="仿宋_GB2312" w:cs="Times New Roman"/>
                <w:color w:val="000000"/>
                <w:sz w:val="28"/>
                <w:szCs w:val="28"/>
                <w:lang w:bidi="ar"/>
              </w:rPr>
              <w:t>权威机构已公布的安全限量或结论</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1．对相关资料进行分析，在符合我国化妆品相关法规规定的情况下，采用相关结论。</w:t>
            </w:r>
          </w:p>
          <w:p>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2．不同的权威机构评估结果不一致时，根据数据的可靠性和相关性，科学合理地采用相关评估结论。</w:t>
            </w:r>
          </w:p>
          <w:p>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3．如缺少局部毒性资料，应结合产品使用部位和使用方式等，对局部毒性开展评估。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97"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9.4</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color w:val="000000"/>
                <w:sz w:val="28"/>
                <w:szCs w:val="28"/>
                <w:lang w:bidi="ar"/>
              </w:rPr>
            </w:pPr>
            <w:r>
              <w:rPr>
                <w:rFonts w:hint="eastAsia" w:ascii="Times New Roman" w:hAnsi="Times New Roman" w:eastAsia="仿宋_GB2312" w:cs="Times New Roman"/>
                <w:color w:val="000000"/>
                <w:sz w:val="28"/>
                <w:szCs w:val="28"/>
                <w:lang w:bidi="ar"/>
              </w:rPr>
              <w:t>化妆品监管部门公布的原料使用信息</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autoSpaceDE w:val="0"/>
              <w:spacing w:before="0" w:beforeAutospacing="0" w:after="0" w:afterAutospacing="0" w:line="560" w:lineRule="exact"/>
              <w:jc w:val="both"/>
              <w:rPr>
                <w:rFonts w:ascii="Times New Roman" w:hAnsi="Times New Roman" w:eastAsia="仿宋_GB2312" w:cs="Times New Roman"/>
                <w:sz w:val="28"/>
                <w:szCs w:val="28"/>
                <w:highlight w:val="yellow"/>
                <w:lang w:bidi="ar"/>
              </w:rPr>
            </w:pPr>
            <w:r>
              <w:rPr>
                <w:rFonts w:ascii="Times New Roman" w:hAnsi="Times New Roman" w:eastAsia="仿宋_GB2312" w:cs="Times New Roman"/>
                <w:sz w:val="28"/>
                <w:szCs w:val="28"/>
                <w:lang w:bidi="ar"/>
              </w:rPr>
              <w:t>结合产品使用方法和作用部位，部分原料参考</w:t>
            </w:r>
            <w:r>
              <w:rPr>
                <w:rFonts w:hint="eastAsia" w:ascii="Times New Roman" w:hAnsi="Times New Roman" w:eastAsia="仿宋_GB2312" w:cs="Times New Roman"/>
                <w:color w:val="000000"/>
                <w:sz w:val="28"/>
                <w:szCs w:val="28"/>
                <w:lang w:bidi="ar"/>
              </w:rPr>
              <w:t>化妆品监管部门公布的原料使用信息进行评估。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9.5</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color w:val="000000"/>
                <w:sz w:val="28"/>
                <w:szCs w:val="28"/>
                <w:lang w:bidi="ar"/>
              </w:rPr>
              <w:t>原料</w:t>
            </w:r>
            <w:r>
              <w:rPr>
                <w:rFonts w:ascii="Times New Roman" w:hAnsi="Times New Roman" w:eastAsia="仿宋_GB2312" w:cs="Times New Roman"/>
                <w:color w:val="000000"/>
                <w:sz w:val="28"/>
                <w:szCs w:val="28"/>
                <w:lang w:bidi="ar"/>
              </w:rPr>
              <w:t>3年使用历史</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部分原料符合</w:t>
            </w:r>
            <w:r>
              <w:rPr>
                <w:rFonts w:ascii="Times New Roman" w:hAnsi="Times New Roman" w:eastAsia="仿宋_GB2312" w:cs="Times New Roman"/>
                <w:sz w:val="28"/>
                <w:szCs w:val="28"/>
                <w:lang w:bidi="ar"/>
              </w:rPr>
              <w:t>3年使用历史数据类型的要求，可以免于对毒理学终点进行评估，必要时评估其局部毒性。</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9"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9.6</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安全食用历史</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部分原料采用安全食用历史可以豁免系统毒性评估，结合产品使用部位和使用方式等，对局部毒性进行评估。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9.7</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结构和性质稳定的高分子聚合物</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部分原料符合结构和性质稳定的高分子聚合物判定要求，结合产品使用部位和使用方式等，对其局部毒性进行评估。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9.8</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毒理学关注阈值（</w:t>
            </w:r>
            <w:r>
              <w:rPr>
                <w:rFonts w:ascii="Times New Roman" w:hAnsi="Times New Roman" w:eastAsia="仿宋_GB2312" w:cs="Times New Roman"/>
                <w:sz w:val="28"/>
                <w:szCs w:val="28"/>
                <w:lang w:bidi="ar"/>
              </w:rPr>
              <w:t>TTC）方法</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符合《毒理学关注阈值（</w:t>
            </w:r>
            <w:r>
              <w:rPr>
                <w:rFonts w:ascii="Times New Roman" w:hAnsi="Times New Roman" w:eastAsia="仿宋_GB2312" w:cs="Times New Roman"/>
                <w:sz w:val="28"/>
                <w:szCs w:val="28"/>
                <w:lang w:bidi="ar"/>
              </w:rPr>
              <w:t>TTC）方法应用技术指南》适用条件，对部分原料进行评估。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9.9</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交叉参照（</w:t>
            </w:r>
            <w:r>
              <w:rPr>
                <w:rFonts w:ascii="Times New Roman" w:hAnsi="Times New Roman" w:eastAsia="仿宋_GB2312" w:cs="Times New Roman"/>
                <w:sz w:val="28"/>
                <w:szCs w:val="28"/>
                <w:lang w:bidi="ar"/>
              </w:rPr>
              <w:t>Read-across）方法</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符合《交叉参照（</w:t>
            </w:r>
            <w:r>
              <w:rPr>
                <w:rFonts w:ascii="Times New Roman" w:hAnsi="Times New Roman" w:eastAsia="仿宋_GB2312" w:cs="Times New Roman"/>
                <w:sz w:val="28"/>
                <w:szCs w:val="28"/>
                <w:lang w:bidi="ar"/>
              </w:rPr>
              <w:t>Read-across）方法应用技术指南》适用条件，对部分原料进行评估。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3"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9.10</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毒理学终点评估</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color w:val="000000"/>
                <w:sz w:val="28"/>
                <w:szCs w:val="28"/>
                <w:lang w:bidi="ar"/>
              </w:rPr>
              <w:t>对配方中部分原料毒理学终点的试验方法、结果、结论进行分析，确定每个原料的主要毒性特征及程度。</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9.11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color w:val="000000"/>
                <w:sz w:val="28"/>
                <w:szCs w:val="28"/>
                <w:lang w:bidi="ar"/>
              </w:rPr>
              <w:t>风险特征描述</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autoSpaceDE w:val="0"/>
              <w:spacing w:before="0" w:beforeAutospacing="0" w:after="0" w:afterAutospacing="0" w:line="560" w:lineRule="exact"/>
              <w:jc w:val="both"/>
              <w:rPr>
                <w:rFonts w:ascii="Times New Roman" w:hAnsi="Times New Roman" w:eastAsia="仿宋_GB2312" w:cs="Times New Roman"/>
                <w:color w:val="000000"/>
                <w:sz w:val="28"/>
                <w:szCs w:val="28"/>
                <w:lang w:bidi="ar"/>
              </w:rPr>
            </w:pPr>
            <w:r>
              <w:rPr>
                <w:rFonts w:hint="eastAsia" w:ascii="Times New Roman" w:hAnsi="Times New Roman" w:eastAsia="仿宋_GB2312" w:cs="Times New Roman"/>
                <w:color w:val="000000"/>
                <w:sz w:val="28"/>
                <w:szCs w:val="28"/>
                <w:lang w:bidi="ar"/>
              </w:rPr>
              <w:t>可豁免系统毒性评估或计算</w:t>
            </w:r>
            <w:r>
              <w:rPr>
                <w:rFonts w:ascii="Times New Roman" w:hAnsi="Times New Roman" w:eastAsia="仿宋_GB2312" w:cs="Times New Roman"/>
                <w:color w:val="000000"/>
                <w:sz w:val="28"/>
                <w:szCs w:val="28"/>
                <w:lang w:bidi="ar"/>
              </w:rPr>
              <w:t>MoS</w:t>
            </w:r>
            <w:r>
              <w:rPr>
                <w:rFonts w:hint="eastAsia" w:ascii="Times New Roman" w:hAnsi="Times New Roman" w:eastAsia="仿宋_GB2312" w:cs="Times New Roman"/>
                <w:color w:val="000000"/>
                <w:sz w:val="28"/>
                <w:szCs w:val="28"/>
                <w:lang w:bidi="ar"/>
              </w:rPr>
              <w:t>≥</w:t>
            </w:r>
            <w:r>
              <w:rPr>
                <w:rFonts w:ascii="Times New Roman" w:hAnsi="Times New Roman" w:eastAsia="仿宋_GB2312" w:cs="Times New Roman"/>
                <w:color w:val="000000"/>
                <w:sz w:val="28"/>
                <w:szCs w:val="28"/>
                <w:lang w:bidi="ar"/>
              </w:rPr>
              <w:t>100</w:t>
            </w:r>
            <w:r>
              <w:rPr>
                <w:rFonts w:hint="eastAsia" w:ascii="Times New Roman" w:hAnsi="Times New Roman" w:eastAsia="仿宋_GB2312" w:cs="Times New Roman"/>
                <w:color w:val="000000"/>
                <w:sz w:val="28"/>
                <w:szCs w:val="28"/>
                <w:lang w:bidi="ar"/>
              </w:rPr>
              <w:t>；不具有皮肤致敏性或者</w:t>
            </w:r>
            <w:r>
              <w:rPr>
                <w:rFonts w:ascii="Times New Roman" w:hAnsi="Times New Roman" w:eastAsia="仿宋_GB2312" w:cs="Times New Roman"/>
                <w:color w:val="000000"/>
                <w:sz w:val="28"/>
                <w:szCs w:val="28"/>
                <w:lang w:bidi="ar"/>
              </w:rPr>
              <w:t>AEL高于全身暴露量。</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65"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9.12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纳米原料</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产品配方中含有纳米原料，应对配方使用量下的纳米原料进行安全评估，同时应对评估所用的毒理学试验方法是否适用于纳米原料检测进行说明。</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2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9.13</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香精</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1.产品配方表“标准中文名称”栏中仅填写“香精”原料的，应按照《导则》的原则和要求对香精进行评估，或明确产品所用香精符合国际日用香料协会（IFRA）实践法规要求或符合我国相关（香精）国家标准。</w:t>
            </w:r>
          </w:p>
          <w:p>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2.产品配方表“标准中文名称”栏中同时填写“香精”及香精中的具体香料组分的，应对每种香料组分进行安全评估。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5"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9.14</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安全监测期内新原料</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使用的安全监测期内新原料的使用目的、使用或适用范围、使用浓度、使用限制和要求等符合新原料的技术要求。</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1"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9.15</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可能吸入风险的产品</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可能存在吸入暴露风险的产品应对其吸入毒性进行安全评估。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28"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10</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必须配合仪器使用的产品</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autoSpaceDE w:val="0"/>
              <w:spacing w:before="0" w:beforeAutospacing="0" w:after="0" w:afterAutospacing="0" w:line="560" w:lineRule="exact"/>
              <w:rPr>
                <w:rFonts w:ascii="Times New Roman" w:hAnsi="Times New Roman" w:eastAsia="仿宋_GB2312" w:cs="Times New Roman"/>
                <w:kern w:val="2"/>
                <w:sz w:val="28"/>
                <w:szCs w:val="28"/>
                <w:lang w:bidi="ar"/>
              </w:rPr>
            </w:pPr>
            <w:r>
              <w:rPr>
                <w:rFonts w:ascii="Times New Roman" w:hAnsi="Times New Roman" w:eastAsia="仿宋_GB2312" w:cs="Times New Roman"/>
                <w:kern w:val="2"/>
                <w:sz w:val="28"/>
                <w:szCs w:val="28"/>
                <w:lang w:bidi="ar"/>
              </w:rPr>
              <w:t>1．除仅辅助涂擦的毛刷、气垫等以外，必须配合仪器或者工具使用的产品，其产品安全评估过程中应当评估配合仪器或者工具使用条件下的安全性。</w:t>
            </w:r>
          </w:p>
          <w:p>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kern w:val="2"/>
                <w:sz w:val="28"/>
                <w:szCs w:val="28"/>
                <w:lang w:bidi="ar"/>
              </w:rPr>
              <w:t>2</w:t>
            </w:r>
            <w:r>
              <w:rPr>
                <w:rFonts w:hint="eastAsia" w:ascii="Times New Roman" w:hAnsi="Times New Roman" w:eastAsia="仿宋_GB2312" w:cs="Times New Roman"/>
                <w:kern w:val="2"/>
                <w:sz w:val="28"/>
                <w:szCs w:val="28"/>
                <w:lang w:bidi="ar"/>
              </w:rPr>
              <w:t>．</w:t>
            </w:r>
            <w:r>
              <w:rPr>
                <w:rFonts w:hint="eastAsia" w:ascii="Times New Roman" w:hAnsi="Times New Roman" w:eastAsia="仿宋_GB2312" w:cs="Times New Roman"/>
                <w:sz w:val="28"/>
                <w:szCs w:val="28"/>
                <w:lang w:bidi="ar"/>
              </w:rPr>
              <w:t>配合仪器使用的产品，如果仪器影响透皮吸收，评估时需要对原料的皮肤吸收率进行调整。一般应选用更为保守的经皮吸收率。如果产品有配合使用条件下的经皮吸收率研究，可采用其研究结果。</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rPr>
              <w:t>符合</w:t>
            </w:r>
            <w:r>
              <w:rPr>
                <w:rFonts w:hint="eastAsia" w:eastAsia="仿宋_GB2312" w:cs="Times New Roman"/>
                <w:sz w:val="28"/>
                <w:szCs w:val="28"/>
                <w:lang w:eastAsia="zh-CN"/>
              </w:rPr>
              <w:t>□</w:t>
            </w:r>
          </w:p>
          <w:p>
            <w:pPr>
              <w:autoSpaceDE w:val="0"/>
              <w:spacing w:after="0" w:line="560" w:lineRule="exact"/>
              <w:jc w:val="center"/>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rPr>
              <w:t>不符合</w:t>
            </w:r>
            <w:r>
              <w:rPr>
                <w:rFonts w:hint="eastAsia" w:eastAsia="仿宋_GB2312" w:cs="Times New Roman"/>
                <w:sz w:val="28"/>
                <w:szCs w:val="28"/>
                <w:lang w:eastAsia="zh-CN"/>
              </w:rPr>
              <w:t>□</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05"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儿童化妆品</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autoSpaceDE w:val="0"/>
              <w:spacing w:before="0" w:beforeAutospacing="0" w:after="0" w:afterAutospacing="0" w:line="560" w:lineRule="exact"/>
              <w:rPr>
                <w:rFonts w:ascii="Times New Roman" w:hAnsi="Times New Roman" w:eastAsia="仿宋_GB2312" w:cs="Times New Roman"/>
                <w:kern w:val="2"/>
                <w:sz w:val="28"/>
                <w:szCs w:val="28"/>
                <w:lang w:bidi="ar"/>
              </w:rPr>
            </w:pPr>
            <w:r>
              <w:rPr>
                <w:rFonts w:hint="eastAsia" w:ascii="Times New Roman" w:hAnsi="Times New Roman" w:eastAsia="仿宋_GB2312" w:cs="Times New Roman"/>
                <w:kern w:val="2"/>
                <w:sz w:val="28"/>
                <w:szCs w:val="28"/>
                <w:lang w:bidi="ar"/>
              </w:rPr>
              <w:t>明确产品配方设计的原则，从原料的安全、稳定、功能、配伍等方面，结合儿童生理特点和可能的应用场景，评估所用原料的科学性和必要性。</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28"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终产品安全性测试</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autoSpaceDE w:val="0"/>
              <w:spacing w:before="0" w:beforeAutospacing="0" w:after="0" w:afterAutospacing="0" w:line="560" w:lineRule="exact"/>
              <w:rPr>
                <w:rFonts w:ascii="Times New Roman" w:hAnsi="Times New Roman" w:eastAsia="仿宋_GB2312" w:cs="Times New Roman"/>
                <w:kern w:val="2"/>
                <w:sz w:val="28"/>
                <w:szCs w:val="28"/>
                <w:lang w:bidi="ar"/>
              </w:rPr>
            </w:pPr>
            <w:r>
              <w:rPr>
                <w:rFonts w:hint="eastAsia" w:ascii="Times New Roman" w:hAnsi="Times New Roman" w:eastAsia="仿宋_GB2312" w:cs="Times New Roman"/>
                <w:kern w:val="2"/>
                <w:sz w:val="28"/>
                <w:szCs w:val="28"/>
                <w:lang w:bidi="ar"/>
              </w:rPr>
              <w:t>在对原料进行充分研究的基础上，结合原料的结构特点和功能，对不超过配方成分总个数</w:t>
            </w:r>
            <w:r>
              <w:rPr>
                <w:rFonts w:ascii="Times New Roman" w:hAnsi="Times New Roman" w:eastAsia="仿宋_GB2312" w:cs="Times New Roman"/>
                <w:kern w:val="2"/>
                <w:sz w:val="28"/>
                <w:szCs w:val="28"/>
                <w:lang w:bidi="ar"/>
              </w:rPr>
              <w:t>10%且含量较低的非特殊功效原料，仅因缺少部分毒性学终点评估数据而不能够完成安全评估的，可以参照《化妆品注册和备案检验工作规范》设置的毒理学试验项目或者人体试验项目（在满足伦理的前提下）开展产品的安全性测试，对终产品的安全性进行综合评价分析。</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13</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可能存在的风险物质的安全评估</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按照《技术规范》《导则》及《化妆品风险物质识别与评估技术指导原则》要求完成化妆品中风险物质的评估。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14</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产品理化稳定性评价</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按照《导则》要求，参照《化妆品稳定性评价技术指南》《化妆品与包材相容性评价技术指南》等相关技术方法完成产品稳定性评估。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15</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产品微生物学评估</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autoSpaceDE w:val="0"/>
              <w:spacing w:before="0" w:beforeAutospacing="0" w:after="0" w:afterAutospacing="0" w:line="560" w:lineRule="exact"/>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按照《导则》要求完成产品微生物学安全评估。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16</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风险控制措施或建议</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应针对产品特点明确必要的风险控制措施或建议。</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147452495"/>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147464813"/>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3"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16.1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警示用语</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根据产品特点提供相关警示用语。</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r>
              <w:rPr>
                <w:rFonts w:hint="eastAsia" w:eastAsia="仿宋_GB2312" w:cs="Times New Roman"/>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67"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17</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安全评估结论</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应针对产品特点进行综合评估，并得出评估结论。</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18</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安全评估人员的签名</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1、应有评估人签名、日期、地址等。</w:t>
            </w:r>
          </w:p>
          <w:p>
            <w:pPr>
              <w:autoSpaceDE w:val="0"/>
              <w:spacing w:after="0" w:line="560" w:lineRule="exact"/>
              <w:rPr>
                <w:rFonts w:ascii="Times New Roman" w:hAnsi="Times New Roman" w:eastAsia="仿宋_GB2312" w:cs="Times New Roman"/>
                <w:sz w:val="28"/>
                <w:szCs w:val="28"/>
              </w:rPr>
            </w:pPr>
            <w:r>
              <w:rPr>
                <w:rFonts w:ascii="Times New Roman" w:hAnsi="Times New Roman" w:eastAsia="仿宋_GB2312" w:cs="Times New Roman"/>
                <w:sz w:val="28"/>
                <w:szCs w:val="28"/>
                <w:lang w:bidi="ar"/>
              </w:rPr>
              <w:t>2</w:t>
            </w:r>
            <w:r>
              <w:rPr>
                <w:rFonts w:hint="eastAsia" w:ascii="Times New Roman" w:hAnsi="Times New Roman" w:eastAsia="仿宋_GB2312" w:cs="Times New Roman"/>
                <w:sz w:val="28"/>
                <w:szCs w:val="28"/>
                <w:lang w:bidi="ar"/>
              </w:rPr>
              <w:t>、安全评估人员签名可以是电子签名或手写签名。</w:t>
            </w:r>
          </w:p>
          <w:p>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3</w:t>
            </w:r>
            <w:r>
              <w:rPr>
                <w:rFonts w:hint="eastAsia" w:ascii="Times New Roman" w:hAnsi="Times New Roman" w:eastAsia="仿宋_GB2312" w:cs="Times New Roman"/>
                <w:sz w:val="28"/>
                <w:szCs w:val="28"/>
                <w:lang w:bidi="ar"/>
              </w:rPr>
              <w:t>、评估日期应为最终出具安全评估报告的时间，不得早于相关证明性资料的出具时间。</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6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19</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安全评估人员简历</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安全评估人员资质应符合《导则》中化妆品安全评估人员要求：</w:t>
            </w:r>
          </w:p>
          <w:p>
            <w:pPr>
              <w:widowControl w:val="0"/>
              <w:autoSpaceDE w:val="0"/>
              <w:spacing w:after="0"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bidi="ar"/>
              </w:rPr>
              <w:t>（</w:t>
            </w:r>
            <w:r>
              <w:rPr>
                <w:rFonts w:ascii="Times New Roman" w:hAnsi="Times New Roman" w:eastAsia="仿宋_GB2312" w:cs="Times New Roman"/>
                <w:sz w:val="28"/>
                <w:szCs w:val="28"/>
                <w:lang w:bidi="ar"/>
              </w:rPr>
              <w:t>1）安全评估人员应当具有医学、药学、生物学、化学或毒理学等化妆品质量安全相关专业知识。</w:t>
            </w:r>
          </w:p>
          <w:p>
            <w:pPr>
              <w:widowControl w:val="0"/>
              <w:autoSpaceDE w:val="0"/>
              <w:spacing w:after="0"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bidi="ar"/>
              </w:rPr>
              <w:t>（</w:t>
            </w:r>
            <w:r>
              <w:rPr>
                <w:rFonts w:ascii="Times New Roman" w:hAnsi="Times New Roman" w:eastAsia="仿宋_GB2312" w:cs="Times New Roman"/>
                <w:sz w:val="28"/>
                <w:szCs w:val="28"/>
                <w:lang w:bidi="ar"/>
              </w:rPr>
              <w:t>2）安全评估人员应当了解化妆品成品或原料生产过程和质量安全控制要求，并具有五年以上相关专业从业经历。</w:t>
            </w:r>
          </w:p>
          <w:p>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w:t>
            </w:r>
            <w:r>
              <w:rPr>
                <w:rFonts w:ascii="Times New Roman" w:hAnsi="Times New Roman" w:eastAsia="仿宋_GB2312" w:cs="Times New Roman"/>
                <w:sz w:val="28"/>
                <w:szCs w:val="28"/>
                <w:lang w:bidi="ar"/>
              </w:rPr>
              <w:t>3）具有化妆品安全评估培训记录。</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p>
        </w:tc>
      </w:tr>
    </w:tbl>
    <w:p>
      <w:pPr>
        <w:rPr>
          <w:rFonts w:ascii="Times New Roman" w:hAnsi="Times New Roman" w:eastAsia="仿宋_GB2312" w:cs="Times New Roman"/>
          <w:bCs/>
          <w:color w:val="000000"/>
          <w:sz w:val="44"/>
          <w:szCs w:val="32"/>
        </w:rPr>
      </w:pPr>
    </w:p>
    <w:p>
      <w:pPr>
        <w:rPr>
          <w:rFonts w:ascii="Times New Roman" w:hAnsi="Times New Roman" w:eastAsia="仿宋_GB2312" w:cs="Times New Roman"/>
          <w:bCs/>
          <w:color w:val="000000"/>
          <w:sz w:val="44"/>
          <w:szCs w:val="32"/>
        </w:rPr>
      </w:pPr>
    </w:p>
    <w:p>
      <w:pPr>
        <w:rPr>
          <w:rFonts w:ascii="Times New Roman" w:hAnsi="Times New Roman" w:eastAsia="仿宋_GB2312" w:cs="Times New Roman"/>
          <w:bCs/>
          <w:color w:val="000000"/>
          <w:sz w:val="44"/>
          <w:szCs w:val="32"/>
        </w:rPr>
      </w:pPr>
    </w:p>
    <w:p>
      <w:pPr>
        <w:rPr>
          <w:rFonts w:ascii="Times New Roman" w:hAnsi="Times New Roman" w:eastAsia="仿宋_GB2312" w:cs="Times New Roman"/>
          <w:bCs/>
          <w:color w:val="000000"/>
          <w:sz w:val="44"/>
          <w:szCs w:val="32"/>
        </w:rPr>
      </w:pPr>
    </w:p>
    <w:p>
      <w:pPr>
        <w:rPr>
          <w:rFonts w:ascii="Times New Roman" w:hAnsi="Times New Roman" w:eastAsia="仿宋_GB2312" w:cs="Times New Roman"/>
          <w:bCs/>
          <w:color w:val="000000"/>
          <w:sz w:val="44"/>
          <w:szCs w:val="32"/>
        </w:rPr>
      </w:pPr>
    </w:p>
    <w:p>
      <w:pPr>
        <w:rPr>
          <w:rFonts w:ascii="Times New Roman" w:hAnsi="Times New Roman" w:eastAsia="仿宋_GB2312" w:cs="Times New Roman"/>
          <w:bCs/>
          <w:color w:val="000000"/>
          <w:sz w:val="44"/>
          <w:szCs w:val="32"/>
        </w:rPr>
      </w:pPr>
    </w:p>
    <w:p>
      <w:pPr>
        <w:rPr>
          <w:rFonts w:ascii="Times New Roman" w:hAnsi="Times New Roman" w:eastAsia="仿宋_GB2312" w:cs="Times New Roman"/>
          <w:bCs/>
          <w:color w:val="000000"/>
          <w:sz w:val="44"/>
          <w:szCs w:val="32"/>
        </w:rPr>
      </w:pPr>
    </w:p>
    <w:p>
      <w:pPr>
        <w:rPr>
          <w:rFonts w:ascii="Times New Roman" w:hAnsi="Times New Roman" w:eastAsia="仿宋" w:cs="Times New Roman"/>
          <w:bCs/>
          <w:sz w:val="32"/>
          <w:szCs w:val="32"/>
        </w:rPr>
      </w:pPr>
    </w:p>
    <w:p>
      <w:pPr>
        <w:adjustRightInd w:val="0"/>
        <w:snapToGrid w:val="0"/>
        <w:spacing w:line="560" w:lineRule="exact"/>
        <w:rPr>
          <w:rFonts w:hint="eastAsia" w:eastAsia="仿宋_GB2312"/>
          <w:sz w:val="32"/>
          <w:szCs w:val="28"/>
          <w:lang w:val="en-US" w:eastAsia="zh-CN"/>
        </w:rPr>
      </w:pPr>
    </w:p>
    <w:sectPr>
      <w:headerReference r:id="rId5" w:type="first"/>
      <w:headerReference r:id="rId3" w:type="default"/>
      <w:footerReference r:id="rId6" w:type="default"/>
      <w:headerReference r:id="rId4" w:type="even"/>
      <w:type w:val="continuous"/>
      <w:pgSz w:w="11906" w:h="16838"/>
      <w:pgMar w:top="1928" w:right="1531" w:bottom="1814" w:left="1531" w:header="851" w:footer="680" w:gutter="0"/>
      <w:pgNumType w:fmt="decimal" w:chapStyle="1" w:chapSep="hyphen"/>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MS Gothic">
    <w:panose1 w:val="020B0609070205080204"/>
    <w:charset w:val="80"/>
    <w:family w:val="auto"/>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p>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hAnsi="仿宋_GB2312" w:eastAsia="仿宋_GB2312" w:cs="仿宋_GB2312"/>
        <w:kern w:val="0"/>
      </w:rPr>
    </w:pPr>
  </w:p>
  <w:p>
    <w:pPr>
      <w:jc w:val="left"/>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trackRevisions w:val="1"/>
  <w:documentProtection w:edit="readOnly" w:enforcement="0"/>
  <w:defaultTabStop w:val="420"/>
  <w:drawingGridHorizontalSpacing w:val="210"/>
  <w:drawingGridVerticalSpacing w:val="164"/>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nst_PassKey" w:val="防伪码"/>
    <w:docVar w:name="Const_PrintDate" w:val="打印日期"/>
    <w:docVar w:name="Field_IndexNO" w:val="报告编号"/>
  </w:docVars>
  <w:rsids>
    <w:rsidRoot w:val="00172A27"/>
    <w:rsid w:val="00000423"/>
    <w:rsid w:val="0000265C"/>
    <w:rsid w:val="0000593A"/>
    <w:rsid w:val="00006F9D"/>
    <w:rsid w:val="00010DCC"/>
    <w:rsid w:val="00011934"/>
    <w:rsid w:val="00014F00"/>
    <w:rsid w:val="00016D27"/>
    <w:rsid w:val="00016E93"/>
    <w:rsid w:val="00016EC1"/>
    <w:rsid w:val="00020F69"/>
    <w:rsid w:val="0002242D"/>
    <w:rsid w:val="00025396"/>
    <w:rsid w:val="000303DA"/>
    <w:rsid w:val="00031A5E"/>
    <w:rsid w:val="00034301"/>
    <w:rsid w:val="00041219"/>
    <w:rsid w:val="00051008"/>
    <w:rsid w:val="00051450"/>
    <w:rsid w:val="00051D8F"/>
    <w:rsid w:val="0005289C"/>
    <w:rsid w:val="00054A06"/>
    <w:rsid w:val="00054E53"/>
    <w:rsid w:val="00061F9B"/>
    <w:rsid w:val="0006364D"/>
    <w:rsid w:val="00064261"/>
    <w:rsid w:val="00064E34"/>
    <w:rsid w:val="000653C6"/>
    <w:rsid w:val="000659CE"/>
    <w:rsid w:val="00066491"/>
    <w:rsid w:val="0006686B"/>
    <w:rsid w:val="0007030E"/>
    <w:rsid w:val="0007052E"/>
    <w:rsid w:val="00071507"/>
    <w:rsid w:val="00072023"/>
    <w:rsid w:val="00074936"/>
    <w:rsid w:val="00074A1C"/>
    <w:rsid w:val="00075A60"/>
    <w:rsid w:val="000763D4"/>
    <w:rsid w:val="000771CE"/>
    <w:rsid w:val="00090237"/>
    <w:rsid w:val="0009104F"/>
    <w:rsid w:val="000910AE"/>
    <w:rsid w:val="00094984"/>
    <w:rsid w:val="00095BF1"/>
    <w:rsid w:val="00095CA2"/>
    <w:rsid w:val="000960FD"/>
    <w:rsid w:val="000A2989"/>
    <w:rsid w:val="000A2ADC"/>
    <w:rsid w:val="000A4BD0"/>
    <w:rsid w:val="000A5F93"/>
    <w:rsid w:val="000A6306"/>
    <w:rsid w:val="000B0A31"/>
    <w:rsid w:val="000B1DB8"/>
    <w:rsid w:val="000C089C"/>
    <w:rsid w:val="000C6B84"/>
    <w:rsid w:val="000D06C6"/>
    <w:rsid w:val="000D1225"/>
    <w:rsid w:val="000D128C"/>
    <w:rsid w:val="000D1702"/>
    <w:rsid w:val="000D2D36"/>
    <w:rsid w:val="000D3B40"/>
    <w:rsid w:val="000D4880"/>
    <w:rsid w:val="000D501F"/>
    <w:rsid w:val="000D63FE"/>
    <w:rsid w:val="000E0170"/>
    <w:rsid w:val="000E1606"/>
    <w:rsid w:val="000E1732"/>
    <w:rsid w:val="000E2760"/>
    <w:rsid w:val="000E34A9"/>
    <w:rsid w:val="000E4623"/>
    <w:rsid w:val="000F0886"/>
    <w:rsid w:val="000F6C4E"/>
    <w:rsid w:val="000F70EF"/>
    <w:rsid w:val="001000C4"/>
    <w:rsid w:val="00101444"/>
    <w:rsid w:val="00101F08"/>
    <w:rsid w:val="001039CB"/>
    <w:rsid w:val="001102C1"/>
    <w:rsid w:val="00112D8C"/>
    <w:rsid w:val="00112EA9"/>
    <w:rsid w:val="00116322"/>
    <w:rsid w:val="0011640B"/>
    <w:rsid w:val="001171E8"/>
    <w:rsid w:val="001200E6"/>
    <w:rsid w:val="0012617C"/>
    <w:rsid w:val="00126D6E"/>
    <w:rsid w:val="00130592"/>
    <w:rsid w:val="00133D55"/>
    <w:rsid w:val="001350EC"/>
    <w:rsid w:val="00136AA0"/>
    <w:rsid w:val="00136D88"/>
    <w:rsid w:val="00136F6B"/>
    <w:rsid w:val="00141DB5"/>
    <w:rsid w:val="00144732"/>
    <w:rsid w:val="00145D63"/>
    <w:rsid w:val="00146B82"/>
    <w:rsid w:val="001476A0"/>
    <w:rsid w:val="0014799B"/>
    <w:rsid w:val="00150568"/>
    <w:rsid w:val="001513C0"/>
    <w:rsid w:val="00151F78"/>
    <w:rsid w:val="001548CA"/>
    <w:rsid w:val="00155C30"/>
    <w:rsid w:val="001562A7"/>
    <w:rsid w:val="00156CD0"/>
    <w:rsid w:val="00157D65"/>
    <w:rsid w:val="00160B02"/>
    <w:rsid w:val="00162F89"/>
    <w:rsid w:val="00164368"/>
    <w:rsid w:val="00164840"/>
    <w:rsid w:val="00165A93"/>
    <w:rsid w:val="00165AD2"/>
    <w:rsid w:val="00166948"/>
    <w:rsid w:val="00166CB5"/>
    <w:rsid w:val="0017149E"/>
    <w:rsid w:val="00172A27"/>
    <w:rsid w:val="00173217"/>
    <w:rsid w:val="00175CEF"/>
    <w:rsid w:val="00176FF9"/>
    <w:rsid w:val="0017724C"/>
    <w:rsid w:val="0018329D"/>
    <w:rsid w:val="001838F7"/>
    <w:rsid w:val="00183DA8"/>
    <w:rsid w:val="00186786"/>
    <w:rsid w:val="00190303"/>
    <w:rsid w:val="0019201F"/>
    <w:rsid w:val="00194713"/>
    <w:rsid w:val="001977FE"/>
    <w:rsid w:val="001A0666"/>
    <w:rsid w:val="001A0B67"/>
    <w:rsid w:val="001A2E79"/>
    <w:rsid w:val="001A43D5"/>
    <w:rsid w:val="001A579A"/>
    <w:rsid w:val="001A6B1A"/>
    <w:rsid w:val="001B1E78"/>
    <w:rsid w:val="001B2BC2"/>
    <w:rsid w:val="001B61C4"/>
    <w:rsid w:val="001B7393"/>
    <w:rsid w:val="001B7562"/>
    <w:rsid w:val="001C035F"/>
    <w:rsid w:val="001C3EB6"/>
    <w:rsid w:val="001C3EBC"/>
    <w:rsid w:val="001C478D"/>
    <w:rsid w:val="001C492C"/>
    <w:rsid w:val="001C5EC1"/>
    <w:rsid w:val="001C66C6"/>
    <w:rsid w:val="001D021F"/>
    <w:rsid w:val="001D23CD"/>
    <w:rsid w:val="001D3923"/>
    <w:rsid w:val="001D59EC"/>
    <w:rsid w:val="001D605D"/>
    <w:rsid w:val="001D6CFC"/>
    <w:rsid w:val="001D7B00"/>
    <w:rsid w:val="001E098D"/>
    <w:rsid w:val="001E10BD"/>
    <w:rsid w:val="001E6B3D"/>
    <w:rsid w:val="001F094A"/>
    <w:rsid w:val="001F1FF8"/>
    <w:rsid w:val="001F2B35"/>
    <w:rsid w:val="001F3612"/>
    <w:rsid w:val="001F3FB0"/>
    <w:rsid w:val="00200068"/>
    <w:rsid w:val="002015A8"/>
    <w:rsid w:val="0020242C"/>
    <w:rsid w:val="00203CD3"/>
    <w:rsid w:val="00204B69"/>
    <w:rsid w:val="002056FA"/>
    <w:rsid w:val="00205EC7"/>
    <w:rsid w:val="0021054C"/>
    <w:rsid w:val="00210B6E"/>
    <w:rsid w:val="0021455C"/>
    <w:rsid w:val="002160B6"/>
    <w:rsid w:val="002164D2"/>
    <w:rsid w:val="00216C7B"/>
    <w:rsid w:val="0022067E"/>
    <w:rsid w:val="00221D9A"/>
    <w:rsid w:val="00223952"/>
    <w:rsid w:val="002300C1"/>
    <w:rsid w:val="00231834"/>
    <w:rsid w:val="0023308A"/>
    <w:rsid w:val="002433A8"/>
    <w:rsid w:val="002479BF"/>
    <w:rsid w:val="00247F9A"/>
    <w:rsid w:val="00250746"/>
    <w:rsid w:val="00250D45"/>
    <w:rsid w:val="002531BF"/>
    <w:rsid w:val="00253B71"/>
    <w:rsid w:val="00256D39"/>
    <w:rsid w:val="00261690"/>
    <w:rsid w:val="002619A8"/>
    <w:rsid w:val="00261C1E"/>
    <w:rsid w:val="002636FA"/>
    <w:rsid w:val="00266341"/>
    <w:rsid w:val="002775A6"/>
    <w:rsid w:val="00277826"/>
    <w:rsid w:val="00277D15"/>
    <w:rsid w:val="0028164C"/>
    <w:rsid w:val="002818FC"/>
    <w:rsid w:val="00282590"/>
    <w:rsid w:val="00284E2A"/>
    <w:rsid w:val="00285B72"/>
    <w:rsid w:val="002874CF"/>
    <w:rsid w:val="00290083"/>
    <w:rsid w:val="00290C0B"/>
    <w:rsid w:val="002944C5"/>
    <w:rsid w:val="002973E1"/>
    <w:rsid w:val="002A030C"/>
    <w:rsid w:val="002A28C1"/>
    <w:rsid w:val="002A45A8"/>
    <w:rsid w:val="002A4E8B"/>
    <w:rsid w:val="002A510C"/>
    <w:rsid w:val="002A7F53"/>
    <w:rsid w:val="002B219C"/>
    <w:rsid w:val="002B30ED"/>
    <w:rsid w:val="002B37EE"/>
    <w:rsid w:val="002B62A4"/>
    <w:rsid w:val="002B6D8D"/>
    <w:rsid w:val="002C17C5"/>
    <w:rsid w:val="002C4E4A"/>
    <w:rsid w:val="002C4E9E"/>
    <w:rsid w:val="002C5CC5"/>
    <w:rsid w:val="002D14B4"/>
    <w:rsid w:val="002D19AA"/>
    <w:rsid w:val="002D3E7F"/>
    <w:rsid w:val="002D3F6C"/>
    <w:rsid w:val="002D5EC4"/>
    <w:rsid w:val="002D65B7"/>
    <w:rsid w:val="002E033A"/>
    <w:rsid w:val="002E161E"/>
    <w:rsid w:val="002E30C8"/>
    <w:rsid w:val="002F007F"/>
    <w:rsid w:val="002F2964"/>
    <w:rsid w:val="002F2CC3"/>
    <w:rsid w:val="002F3A72"/>
    <w:rsid w:val="002F4896"/>
    <w:rsid w:val="002F4EB4"/>
    <w:rsid w:val="002F75E3"/>
    <w:rsid w:val="00300D34"/>
    <w:rsid w:val="0030392D"/>
    <w:rsid w:val="00304236"/>
    <w:rsid w:val="00305019"/>
    <w:rsid w:val="00306586"/>
    <w:rsid w:val="00306C4F"/>
    <w:rsid w:val="00307C46"/>
    <w:rsid w:val="003112CA"/>
    <w:rsid w:val="00315FC0"/>
    <w:rsid w:val="003168E8"/>
    <w:rsid w:val="00317029"/>
    <w:rsid w:val="00320F29"/>
    <w:rsid w:val="00322672"/>
    <w:rsid w:val="00323882"/>
    <w:rsid w:val="00323910"/>
    <w:rsid w:val="00323FD5"/>
    <w:rsid w:val="00325FF7"/>
    <w:rsid w:val="003265F9"/>
    <w:rsid w:val="00327DA1"/>
    <w:rsid w:val="00330E63"/>
    <w:rsid w:val="00331B0B"/>
    <w:rsid w:val="00332CF7"/>
    <w:rsid w:val="003330A7"/>
    <w:rsid w:val="003341D7"/>
    <w:rsid w:val="00335C90"/>
    <w:rsid w:val="0034300B"/>
    <w:rsid w:val="003479F0"/>
    <w:rsid w:val="00347BBA"/>
    <w:rsid w:val="00347CFB"/>
    <w:rsid w:val="0035031B"/>
    <w:rsid w:val="00350F10"/>
    <w:rsid w:val="003510BE"/>
    <w:rsid w:val="00351116"/>
    <w:rsid w:val="0035163B"/>
    <w:rsid w:val="00352FFE"/>
    <w:rsid w:val="003533ED"/>
    <w:rsid w:val="00357300"/>
    <w:rsid w:val="00357FE6"/>
    <w:rsid w:val="00360EF3"/>
    <w:rsid w:val="0036326B"/>
    <w:rsid w:val="0036351E"/>
    <w:rsid w:val="00363BC0"/>
    <w:rsid w:val="00365089"/>
    <w:rsid w:val="003678FE"/>
    <w:rsid w:val="00373132"/>
    <w:rsid w:val="003743A5"/>
    <w:rsid w:val="00374432"/>
    <w:rsid w:val="003754B9"/>
    <w:rsid w:val="00376709"/>
    <w:rsid w:val="0038489B"/>
    <w:rsid w:val="0039379B"/>
    <w:rsid w:val="00394B1B"/>
    <w:rsid w:val="003A1C23"/>
    <w:rsid w:val="003A5842"/>
    <w:rsid w:val="003A5C12"/>
    <w:rsid w:val="003A5C4E"/>
    <w:rsid w:val="003B0962"/>
    <w:rsid w:val="003B1685"/>
    <w:rsid w:val="003B18EB"/>
    <w:rsid w:val="003B35CD"/>
    <w:rsid w:val="003B39B2"/>
    <w:rsid w:val="003B3F47"/>
    <w:rsid w:val="003B452F"/>
    <w:rsid w:val="003C106F"/>
    <w:rsid w:val="003C2192"/>
    <w:rsid w:val="003C2496"/>
    <w:rsid w:val="003C4998"/>
    <w:rsid w:val="003C4A36"/>
    <w:rsid w:val="003C561C"/>
    <w:rsid w:val="003D08E2"/>
    <w:rsid w:val="003D1601"/>
    <w:rsid w:val="003D272A"/>
    <w:rsid w:val="003D6C28"/>
    <w:rsid w:val="003D756D"/>
    <w:rsid w:val="003D78E8"/>
    <w:rsid w:val="003E0F00"/>
    <w:rsid w:val="003E2BB6"/>
    <w:rsid w:val="003E5138"/>
    <w:rsid w:val="003E57A2"/>
    <w:rsid w:val="003E7CB8"/>
    <w:rsid w:val="003F23D1"/>
    <w:rsid w:val="003F43B3"/>
    <w:rsid w:val="003F4D3E"/>
    <w:rsid w:val="003F53AF"/>
    <w:rsid w:val="003F553E"/>
    <w:rsid w:val="003F57F7"/>
    <w:rsid w:val="00401515"/>
    <w:rsid w:val="00402CF4"/>
    <w:rsid w:val="004037C9"/>
    <w:rsid w:val="004040ED"/>
    <w:rsid w:val="004044A8"/>
    <w:rsid w:val="004051C5"/>
    <w:rsid w:val="00405AE4"/>
    <w:rsid w:val="00406877"/>
    <w:rsid w:val="00410D1B"/>
    <w:rsid w:val="0041155C"/>
    <w:rsid w:val="004140AD"/>
    <w:rsid w:val="00414507"/>
    <w:rsid w:val="00415656"/>
    <w:rsid w:val="00420A79"/>
    <w:rsid w:val="004218DC"/>
    <w:rsid w:val="00422184"/>
    <w:rsid w:val="004221AF"/>
    <w:rsid w:val="00430EA0"/>
    <w:rsid w:val="00432281"/>
    <w:rsid w:val="004329F7"/>
    <w:rsid w:val="00432EB8"/>
    <w:rsid w:val="0044543F"/>
    <w:rsid w:val="00450EBF"/>
    <w:rsid w:val="00453B18"/>
    <w:rsid w:val="00453F14"/>
    <w:rsid w:val="00455B79"/>
    <w:rsid w:val="004624EC"/>
    <w:rsid w:val="00463C1C"/>
    <w:rsid w:val="00464CDD"/>
    <w:rsid w:val="00465C54"/>
    <w:rsid w:val="004668D0"/>
    <w:rsid w:val="00475219"/>
    <w:rsid w:val="004773D3"/>
    <w:rsid w:val="004778B5"/>
    <w:rsid w:val="004804E8"/>
    <w:rsid w:val="004828E7"/>
    <w:rsid w:val="0048576C"/>
    <w:rsid w:val="00487797"/>
    <w:rsid w:val="004879B6"/>
    <w:rsid w:val="004948AE"/>
    <w:rsid w:val="00494AF9"/>
    <w:rsid w:val="004A09AF"/>
    <w:rsid w:val="004A1724"/>
    <w:rsid w:val="004A3C7E"/>
    <w:rsid w:val="004A48F4"/>
    <w:rsid w:val="004A4F0C"/>
    <w:rsid w:val="004A5C4E"/>
    <w:rsid w:val="004A779F"/>
    <w:rsid w:val="004B0552"/>
    <w:rsid w:val="004B24D1"/>
    <w:rsid w:val="004B2860"/>
    <w:rsid w:val="004B686A"/>
    <w:rsid w:val="004C3D20"/>
    <w:rsid w:val="004C64C3"/>
    <w:rsid w:val="004D5604"/>
    <w:rsid w:val="004D7220"/>
    <w:rsid w:val="004D7576"/>
    <w:rsid w:val="004E0962"/>
    <w:rsid w:val="004E4D8B"/>
    <w:rsid w:val="004E6261"/>
    <w:rsid w:val="004E626F"/>
    <w:rsid w:val="004E6752"/>
    <w:rsid w:val="004F073A"/>
    <w:rsid w:val="004F1E11"/>
    <w:rsid w:val="004F27D3"/>
    <w:rsid w:val="004F4265"/>
    <w:rsid w:val="004F441F"/>
    <w:rsid w:val="004F596D"/>
    <w:rsid w:val="0050179C"/>
    <w:rsid w:val="00502A2E"/>
    <w:rsid w:val="00504198"/>
    <w:rsid w:val="00504AA5"/>
    <w:rsid w:val="00504F09"/>
    <w:rsid w:val="005126CB"/>
    <w:rsid w:val="0051425A"/>
    <w:rsid w:val="00515060"/>
    <w:rsid w:val="0051707A"/>
    <w:rsid w:val="005172D2"/>
    <w:rsid w:val="00520E07"/>
    <w:rsid w:val="005236AA"/>
    <w:rsid w:val="00525512"/>
    <w:rsid w:val="00527DC8"/>
    <w:rsid w:val="00530844"/>
    <w:rsid w:val="005314E4"/>
    <w:rsid w:val="0053181E"/>
    <w:rsid w:val="005324CC"/>
    <w:rsid w:val="005325CF"/>
    <w:rsid w:val="00534504"/>
    <w:rsid w:val="005349F5"/>
    <w:rsid w:val="0054081D"/>
    <w:rsid w:val="00540BAF"/>
    <w:rsid w:val="005410CE"/>
    <w:rsid w:val="00544FBE"/>
    <w:rsid w:val="005455A8"/>
    <w:rsid w:val="0054615C"/>
    <w:rsid w:val="00551026"/>
    <w:rsid w:val="00551204"/>
    <w:rsid w:val="00551C18"/>
    <w:rsid w:val="00561E24"/>
    <w:rsid w:val="00561F7A"/>
    <w:rsid w:val="0056324D"/>
    <w:rsid w:val="0056422D"/>
    <w:rsid w:val="00564625"/>
    <w:rsid w:val="00564D6B"/>
    <w:rsid w:val="0056661D"/>
    <w:rsid w:val="00567DA8"/>
    <w:rsid w:val="00571F7F"/>
    <w:rsid w:val="00573488"/>
    <w:rsid w:val="00573B52"/>
    <w:rsid w:val="00574870"/>
    <w:rsid w:val="00577A97"/>
    <w:rsid w:val="005837AF"/>
    <w:rsid w:val="0058521C"/>
    <w:rsid w:val="00590490"/>
    <w:rsid w:val="00593C49"/>
    <w:rsid w:val="005946B9"/>
    <w:rsid w:val="00597253"/>
    <w:rsid w:val="005A027C"/>
    <w:rsid w:val="005A0EDB"/>
    <w:rsid w:val="005A3436"/>
    <w:rsid w:val="005A5F3A"/>
    <w:rsid w:val="005A5F66"/>
    <w:rsid w:val="005B0A4A"/>
    <w:rsid w:val="005B1456"/>
    <w:rsid w:val="005B1B7A"/>
    <w:rsid w:val="005B2A3E"/>
    <w:rsid w:val="005B3118"/>
    <w:rsid w:val="005B404F"/>
    <w:rsid w:val="005B76A1"/>
    <w:rsid w:val="005B77E9"/>
    <w:rsid w:val="005C2C45"/>
    <w:rsid w:val="005C644C"/>
    <w:rsid w:val="005D20CB"/>
    <w:rsid w:val="005D4361"/>
    <w:rsid w:val="005D5D26"/>
    <w:rsid w:val="005D7361"/>
    <w:rsid w:val="005D7901"/>
    <w:rsid w:val="005D7D24"/>
    <w:rsid w:val="005E1942"/>
    <w:rsid w:val="005E216A"/>
    <w:rsid w:val="005E3560"/>
    <w:rsid w:val="005E4F82"/>
    <w:rsid w:val="005E6E42"/>
    <w:rsid w:val="005E7595"/>
    <w:rsid w:val="005F0F7D"/>
    <w:rsid w:val="005F1F22"/>
    <w:rsid w:val="005F2A0B"/>
    <w:rsid w:val="005F2E52"/>
    <w:rsid w:val="005F2FEF"/>
    <w:rsid w:val="005F3471"/>
    <w:rsid w:val="005F4ADA"/>
    <w:rsid w:val="005F6A21"/>
    <w:rsid w:val="0060055D"/>
    <w:rsid w:val="00602F8D"/>
    <w:rsid w:val="00603F4C"/>
    <w:rsid w:val="006052CA"/>
    <w:rsid w:val="00605AAC"/>
    <w:rsid w:val="006073F1"/>
    <w:rsid w:val="00607B0F"/>
    <w:rsid w:val="00607CDB"/>
    <w:rsid w:val="0061102C"/>
    <w:rsid w:val="00611880"/>
    <w:rsid w:val="00612531"/>
    <w:rsid w:val="006129A4"/>
    <w:rsid w:val="00614906"/>
    <w:rsid w:val="006150B1"/>
    <w:rsid w:val="0061555E"/>
    <w:rsid w:val="00621A59"/>
    <w:rsid w:val="0062479E"/>
    <w:rsid w:val="00624F8E"/>
    <w:rsid w:val="006266D9"/>
    <w:rsid w:val="00633AC5"/>
    <w:rsid w:val="0063564D"/>
    <w:rsid w:val="006363C3"/>
    <w:rsid w:val="006367A0"/>
    <w:rsid w:val="00637F3D"/>
    <w:rsid w:val="0064255D"/>
    <w:rsid w:val="006428CA"/>
    <w:rsid w:val="0064375E"/>
    <w:rsid w:val="00644387"/>
    <w:rsid w:val="00644B6E"/>
    <w:rsid w:val="00645652"/>
    <w:rsid w:val="006458A2"/>
    <w:rsid w:val="00647B08"/>
    <w:rsid w:val="00650B63"/>
    <w:rsid w:val="00655FFA"/>
    <w:rsid w:val="0066092B"/>
    <w:rsid w:val="00661793"/>
    <w:rsid w:val="00661DA7"/>
    <w:rsid w:val="006633E3"/>
    <w:rsid w:val="00665C3C"/>
    <w:rsid w:val="0067038A"/>
    <w:rsid w:val="0067076C"/>
    <w:rsid w:val="00673EAB"/>
    <w:rsid w:val="00676D1A"/>
    <w:rsid w:val="0068034C"/>
    <w:rsid w:val="0068129E"/>
    <w:rsid w:val="006815FB"/>
    <w:rsid w:val="00682DE1"/>
    <w:rsid w:val="00684996"/>
    <w:rsid w:val="00686078"/>
    <w:rsid w:val="0068649E"/>
    <w:rsid w:val="0068761C"/>
    <w:rsid w:val="006877FF"/>
    <w:rsid w:val="00687F54"/>
    <w:rsid w:val="00690209"/>
    <w:rsid w:val="00693537"/>
    <w:rsid w:val="00697089"/>
    <w:rsid w:val="006A070B"/>
    <w:rsid w:val="006A0F47"/>
    <w:rsid w:val="006A15C9"/>
    <w:rsid w:val="006A4685"/>
    <w:rsid w:val="006A5572"/>
    <w:rsid w:val="006A68D8"/>
    <w:rsid w:val="006A6D41"/>
    <w:rsid w:val="006A7D8E"/>
    <w:rsid w:val="006B0181"/>
    <w:rsid w:val="006B1A95"/>
    <w:rsid w:val="006B1BF1"/>
    <w:rsid w:val="006B3E40"/>
    <w:rsid w:val="006B3E76"/>
    <w:rsid w:val="006B5756"/>
    <w:rsid w:val="006B6C39"/>
    <w:rsid w:val="006B77DB"/>
    <w:rsid w:val="006B79DD"/>
    <w:rsid w:val="006C0BD2"/>
    <w:rsid w:val="006C0DC0"/>
    <w:rsid w:val="006C12C9"/>
    <w:rsid w:val="006C35FB"/>
    <w:rsid w:val="006C4832"/>
    <w:rsid w:val="006C5A3D"/>
    <w:rsid w:val="006C7898"/>
    <w:rsid w:val="006C7C75"/>
    <w:rsid w:val="006D05F4"/>
    <w:rsid w:val="006D10D6"/>
    <w:rsid w:val="006D2F6B"/>
    <w:rsid w:val="006D3D5E"/>
    <w:rsid w:val="006D456A"/>
    <w:rsid w:val="006D5E21"/>
    <w:rsid w:val="006E0335"/>
    <w:rsid w:val="006E0E17"/>
    <w:rsid w:val="006E2B5D"/>
    <w:rsid w:val="006E305E"/>
    <w:rsid w:val="006E4929"/>
    <w:rsid w:val="006E5102"/>
    <w:rsid w:val="006E6AFB"/>
    <w:rsid w:val="006F1E0E"/>
    <w:rsid w:val="006F43D9"/>
    <w:rsid w:val="006F4DB6"/>
    <w:rsid w:val="006F4E23"/>
    <w:rsid w:val="006F5836"/>
    <w:rsid w:val="006F59BA"/>
    <w:rsid w:val="006F5B51"/>
    <w:rsid w:val="007004E0"/>
    <w:rsid w:val="0070412A"/>
    <w:rsid w:val="007068FD"/>
    <w:rsid w:val="00713230"/>
    <w:rsid w:val="007136F5"/>
    <w:rsid w:val="00713EA9"/>
    <w:rsid w:val="007204EE"/>
    <w:rsid w:val="0072180B"/>
    <w:rsid w:val="007219CC"/>
    <w:rsid w:val="00723753"/>
    <w:rsid w:val="0072540B"/>
    <w:rsid w:val="00726337"/>
    <w:rsid w:val="00726A09"/>
    <w:rsid w:val="00727597"/>
    <w:rsid w:val="00727DE5"/>
    <w:rsid w:val="007329D0"/>
    <w:rsid w:val="00733B39"/>
    <w:rsid w:val="00735046"/>
    <w:rsid w:val="007442DF"/>
    <w:rsid w:val="007447EC"/>
    <w:rsid w:val="00745F18"/>
    <w:rsid w:val="00746568"/>
    <w:rsid w:val="00746879"/>
    <w:rsid w:val="00750248"/>
    <w:rsid w:val="007503C6"/>
    <w:rsid w:val="00750458"/>
    <w:rsid w:val="00750F25"/>
    <w:rsid w:val="007533BC"/>
    <w:rsid w:val="00754581"/>
    <w:rsid w:val="00754F4E"/>
    <w:rsid w:val="007579DF"/>
    <w:rsid w:val="00757E93"/>
    <w:rsid w:val="007617AB"/>
    <w:rsid w:val="00762187"/>
    <w:rsid w:val="0076289B"/>
    <w:rsid w:val="007628EC"/>
    <w:rsid w:val="007633B0"/>
    <w:rsid w:val="00766F07"/>
    <w:rsid w:val="00770035"/>
    <w:rsid w:val="00771DA4"/>
    <w:rsid w:val="00773ED4"/>
    <w:rsid w:val="007771C7"/>
    <w:rsid w:val="0078004C"/>
    <w:rsid w:val="00781E68"/>
    <w:rsid w:val="00785CA4"/>
    <w:rsid w:val="00786D2C"/>
    <w:rsid w:val="0079029D"/>
    <w:rsid w:val="00791491"/>
    <w:rsid w:val="007936D6"/>
    <w:rsid w:val="00795B4B"/>
    <w:rsid w:val="007975BB"/>
    <w:rsid w:val="007A0FCF"/>
    <w:rsid w:val="007A163F"/>
    <w:rsid w:val="007A5098"/>
    <w:rsid w:val="007A6A98"/>
    <w:rsid w:val="007A704B"/>
    <w:rsid w:val="007B409A"/>
    <w:rsid w:val="007C08A4"/>
    <w:rsid w:val="007C2991"/>
    <w:rsid w:val="007C520E"/>
    <w:rsid w:val="007C64C7"/>
    <w:rsid w:val="007C6F3D"/>
    <w:rsid w:val="007C72C1"/>
    <w:rsid w:val="007D1AAB"/>
    <w:rsid w:val="007D2F1B"/>
    <w:rsid w:val="007D703F"/>
    <w:rsid w:val="007E0DE4"/>
    <w:rsid w:val="007E2375"/>
    <w:rsid w:val="007E289F"/>
    <w:rsid w:val="007E2AF0"/>
    <w:rsid w:val="007E3EB2"/>
    <w:rsid w:val="007E58D6"/>
    <w:rsid w:val="007E6573"/>
    <w:rsid w:val="007E7D50"/>
    <w:rsid w:val="007F2E97"/>
    <w:rsid w:val="007F35C3"/>
    <w:rsid w:val="007F5F8E"/>
    <w:rsid w:val="007F6C62"/>
    <w:rsid w:val="007F6CCA"/>
    <w:rsid w:val="00802441"/>
    <w:rsid w:val="00802B33"/>
    <w:rsid w:val="00803967"/>
    <w:rsid w:val="008044C1"/>
    <w:rsid w:val="00804A8C"/>
    <w:rsid w:val="0080591C"/>
    <w:rsid w:val="008060E8"/>
    <w:rsid w:val="0081156F"/>
    <w:rsid w:val="008116AF"/>
    <w:rsid w:val="00811FB1"/>
    <w:rsid w:val="0081520E"/>
    <w:rsid w:val="00815765"/>
    <w:rsid w:val="0081637A"/>
    <w:rsid w:val="00817578"/>
    <w:rsid w:val="00820135"/>
    <w:rsid w:val="008203BF"/>
    <w:rsid w:val="00823346"/>
    <w:rsid w:val="00827A00"/>
    <w:rsid w:val="008300E3"/>
    <w:rsid w:val="00833D2B"/>
    <w:rsid w:val="008356B6"/>
    <w:rsid w:val="00835D5A"/>
    <w:rsid w:val="008377A6"/>
    <w:rsid w:val="00837FBB"/>
    <w:rsid w:val="00840DEF"/>
    <w:rsid w:val="00842F09"/>
    <w:rsid w:val="00845649"/>
    <w:rsid w:val="008457F1"/>
    <w:rsid w:val="008470FA"/>
    <w:rsid w:val="00850193"/>
    <w:rsid w:val="00850A45"/>
    <w:rsid w:val="0085363E"/>
    <w:rsid w:val="008561BD"/>
    <w:rsid w:val="008567A5"/>
    <w:rsid w:val="00856F82"/>
    <w:rsid w:val="008610ED"/>
    <w:rsid w:val="008614A8"/>
    <w:rsid w:val="00861B99"/>
    <w:rsid w:val="00862670"/>
    <w:rsid w:val="00863C35"/>
    <w:rsid w:val="00863CC0"/>
    <w:rsid w:val="00865DA6"/>
    <w:rsid w:val="0086656B"/>
    <w:rsid w:val="00870AF8"/>
    <w:rsid w:val="008719BA"/>
    <w:rsid w:val="00874706"/>
    <w:rsid w:val="008749C3"/>
    <w:rsid w:val="00881706"/>
    <w:rsid w:val="0088214B"/>
    <w:rsid w:val="00882E0E"/>
    <w:rsid w:val="008842AA"/>
    <w:rsid w:val="00885396"/>
    <w:rsid w:val="00886BB9"/>
    <w:rsid w:val="00886BC6"/>
    <w:rsid w:val="00887B67"/>
    <w:rsid w:val="00892A4B"/>
    <w:rsid w:val="00893111"/>
    <w:rsid w:val="008935D0"/>
    <w:rsid w:val="00895352"/>
    <w:rsid w:val="00896531"/>
    <w:rsid w:val="00897414"/>
    <w:rsid w:val="008A01E4"/>
    <w:rsid w:val="008A1684"/>
    <w:rsid w:val="008A22C2"/>
    <w:rsid w:val="008A35EB"/>
    <w:rsid w:val="008A39EE"/>
    <w:rsid w:val="008A4360"/>
    <w:rsid w:val="008A6184"/>
    <w:rsid w:val="008A61A1"/>
    <w:rsid w:val="008B0579"/>
    <w:rsid w:val="008B5119"/>
    <w:rsid w:val="008B5212"/>
    <w:rsid w:val="008B7DF8"/>
    <w:rsid w:val="008C1F1A"/>
    <w:rsid w:val="008C287C"/>
    <w:rsid w:val="008C3285"/>
    <w:rsid w:val="008C3645"/>
    <w:rsid w:val="008C380C"/>
    <w:rsid w:val="008C461A"/>
    <w:rsid w:val="008C58D2"/>
    <w:rsid w:val="008C5ECE"/>
    <w:rsid w:val="008C6756"/>
    <w:rsid w:val="008C6CC5"/>
    <w:rsid w:val="008C74C4"/>
    <w:rsid w:val="008D23FC"/>
    <w:rsid w:val="008D3995"/>
    <w:rsid w:val="008D530F"/>
    <w:rsid w:val="008D5FE4"/>
    <w:rsid w:val="008D6E2F"/>
    <w:rsid w:val="008D7DF8"/>
    <w:rsid w:val="008E5C0C"/>
    <w:rsid w:val="008E6939"/>
    <w:rsid w:val="008E6FCF"/>
    <w:rsid w:val="008F084C"/>
    <w:rsid w:val="008F1982"/>
    <w:rsid w:val="008F2E00"/>
    <w:rsid w:val="008F3FD0"/>
    <w:rsid w:val="008F4E49"/>
    <w:rsid w:val="008F5963"/>
    <w:rsid w:val="008F6820"/>
    <w:rsid w:val="009025E6"/>
    <w:rsid w:val="00902C36"/>
    <w:rsid w:val="009047C7"/>
    <w:rsid w:val="00906DB9"/>
    <w:rsid w:val="00907EAB"/>
    <w:rsid w:val="0091035D"/>
    <w:rsid w:val="00910B7A"/>
    <w:rsid w:val="00910E64"/>
    <w:rsid w:val="0091161D"/>
    <w:rsid w:val="009148AA"/>
    <w:rsid w:val="009157E3"/>
    <w:rsid w:val="0091598F"/>
    <w:rsid w:val="00915FC8"/>
    <w:rsid w:val="0092108F"/>
    <w:rsid w:val="009214F5"/>
    <w:rsid w:val="00923B22"/>
    <w:rsid w:val="009252A2"/>
    <w:rsid w:val="00925C80"/>
    <w:rsid w:val="00926229"/>
    <w:rsid w:val="0092658F"/>
    <w:rsid w:val="00926795"/>
    <w:rsid w:val="0092713A"/>
    <w:rsid w:val="0093147D"/>
    <w:rsid w:val="009316F1"/>
    <w:rsid w:val="00931733"/>
    <w:rsid w:val="00932C97"/>
    <w:rsid w:val="00933B40"/>
    <w:rsid w:val="009340DE"/>
    <w:rsid w:val="00935FBE"/>
    <w:rsid w:val="0093715E"/>
    <w:rsid w:val="009377D0"/>
    <w:rsid w:val="0094036D"/>
    <w:rsid w:val="009419F5"/>
    <w:rsid w:val="00943E7A"/>
    <w:rsid w:val="00944679"/>
    <w:rsid w:val="00944DEC"/>
    <w:rsid w:val="0094647A"/>
    <w:rsid w:val="00946C45"/>
    <w:rsid w:val="00947240"/>
    <w:rsid w:val="009507DF"/>
    <w:rsid w:val="00951AFF"/>
    <w:rsid w:val="00960F8E"/>
    <w:rsid w:val="009623F8"/>
    <w:rsid w:val="00962604"/>
    <w:rsid w:val="00962BD7"/>
    <w:rsid w:val="00963B77"/>
    <w:rsid w:val="0096735C"/>
    <w:rsid w:val="00967790"/>
    <w:rsid w:val="00970E5F"/>
    <w:rsid w:val="00972AD1"/>
    <w:rsid w:val="00972B39"/>
    <w:rsid w:val="0097437D"/>
    <w:rsid w:val="009769A5"/>
    <w:rsid w:val="009805C0"/>
    <w:rsid w:val="009840A5"/>
    <w:rsid w:val="00985196"/>
    <w:rsid w:val="00985DEB"/>
    <w:rsid w:val="00986885"/>
    <w:rsid w:val="009869EE"/>
    <w:rsid w:val="00987ED0"/>
    <w:rsid w:val="00990A1F"/>
    <w:rsid w:val="00990FAB"/>
    <w:rsid w:val="00991BF3"/>
    <w:rsid w:val="009923A9"/>
    <w:rsid w:val="00993BD5"/>
    <w:rsid w:val="009952D4"/>
    <w:rsid w:val="009A0574"/>
    <w:rsid w:val="009A1829"/>
    <w:rsid w:val="009A1AF0"/>
    <w:rsid w:val="009A2336"/>
    <w:rsid w:val="009A2DB4"/>
    <w:rsid w:val="009A49E0"/>
    <w:rsid w:val="009A5766"/>
    <w:rsid w:val="009A59DB"/>
    <w:rsid w:val="009A6951"/>
    <w:rsid w:val="009A7E8E"/>
    <w:rsid w:val="009B311F"/>
    <w:rsid w:val="009B6847"/>
    <w:rsid w:val="009B772F"/>
    <w:rsid w:val="009C27A3"/>
    <w:rsid w:val="009C2C17"/>
    <w:rsid w:val="009C6E8C"/>
    <w:rsid w:val="009C7C82"/>
    <w:rsid w:val="009D25FA"/>
    <w:rsid w:val="009D441F"/>
    <w:rsid w:val="009D7C65"/>
    <w:rsid w:val="009E0876"/>
    <w:rsid w:val="009E091C"/>
    <w:rsid w:val="009E1355"/>
    <w:rsid w:val="009E14D7"/>
    <w:rsid w:val="009E241F"/>
    <w:rsid w:val="009E3980"/>
    <w:rsid w:val="009E3CA9"/>
    <w:rsid w:val="009E590A"/>
    <w:rsid w:val="009E5FF5"/>
    <w:rsid w:val="009F0AD2"/>
    <w:rsid w:val="009F2AC4"/>
    <w:rsid w:val="009F5AEB"/>
    <w:rsid w:val="009F63A3"/>
    <w:rsid w:val="00A0056B"/>
    <w:rsid w:val="00A01064"/>
    <w:rsid w:val="00A0116B"/>
    <w:rsid w:val="00A03AD8"/>
    <w:rsid w:val="00A0794A"/>
    <w:rsid w:val="00A102BC"/>
    <w:rsid w:val="00A10809"/>
    <w:rsid w:val="00A10DE4"/>
    <w:rsid w:val="00A11281"/>
    <w:rsid w:val="00A121C0"/>
    <w:rsid w:val="00A14CF0"/>
    <w:rsid w:val="00A14D82"/>
    <w:rsid w:val="00A17D1A"/>
    <w:rsid w:val="00A17F00"/>
    <w:rsid w:val="00A20E0E"/>
    <w:rsid w:val="00A21533"/>
    <w:rsid w:val="00A215E0"/>
    <w:rsid w:val="00A24E9C"/>
    <w:rsid w:val="00A254E3"/>
    <w:rsid w:val="00A26612"/>
    <w:rsid w:val="00A2771A"/>
    <w:rsid w:val="00A3086F"/>
    <w:rsid w:val="00A351E7"/>
    <w:rsid w:val="00A37103"/>
    <w:rsid w:val="00A374BA"/>
    <w:rsid w:val="00A40BF7"/>
    <w:rsid w:val="00A419E6"/>
    <w:rsid w:val="00A4281F"/>
    <w:rsid w:val="00A43AA5"/>
    <w:rsid w:val="00A44202"/>
    <w:rsid w:val="00A462DD"/>
    <w:rsid w:val="00A53DD2"/>
    <w:rsid w:val="00A55CCD"/>
    <w:rsid w:val="00A5606F"/>
    <w:rsid w:val="00A560D5"/>
    <w:rsid w:val="00A563BA"/>
    <w:rsid w:val="00A5738F"/>
    <w:rsid w:val="00A60CC0"/>
    <w:rsid w:val="00A617C2"/>
    <w:rsid w:val="00A62362"/>
    <w:rsid w:val="00A62B83"/>
    <w:rsid w:val="00A639CD"/>
    <w:rsid w:val="00A646C6"/>
    <w:rsid w:val="00A65BFC"/>
    <w:rsid w:val="00A667ED"/>
    <w:rsid w:val="00A669B8"/>
    <w:rsid w:val="00A710A9"/>
    <w:rsid w:val="00A75B8A"/>
    <w:rsid w:val="00A76184"/>
    <w:rsid w:val="00A80137"/>
    <w:rsid w:val="00A81AAD"/>
    <w:rsid w:val="00A8280B"/>
    <w:rsid w:val="00A829C2"/>
    <w:rsid w:val="00A82CA2"/>
    <w:rsid w:val="00A86E5F"/>
    <w:rsid w:val="00A916AA"/>
    <w:rsid w:val="00A91B50"/>
    <w:rsid w:val="00A9290A"/>
    <w:rsid w:val="00A9473F"/>
    <w:rsid w:val="00A96089"/>
    <w:rsid w:val="00AA2F86"/>
    <w:rsid w:val="00AA30FC"/>
    <w:rsid w:val="00AA3CBD"/>
    <w:rsid w:val="00AA563A"/>
    <w:rsid w:val="00AA6894"/>
    <w:rsid w:val="00AB191C"/>
    <w:rsid w:val="00AB71C8"/>
    <w:rsid w:val="00AB7FDD"/>
    <w:rsid w:val="00AC1BF9"/>
    <w:rsid w:val="00AC2D33"/>
    <w:rsid w:val="00AD21A0"/>
    <w:rsid w:val="00AD53BC"/>
    <w:rsid w:val="00AE1D86"/>
    <w:rsid w:val="00AE33CD"/>
    <w:rsid w:val="00AE5018"/>
    <w:rsid w:val="00AE686B"/>
    <w:rsid w:val="00AE6AAD"/>
    <w:rsid w:val="00AE7BE1"/>
    <w:rsid w:val="00AF07C8"/>
    <w:rsid w:val="00AF147A"/>
    <w:rsid w:val="00AF5D91"/>
    <w:rsid w:val="00AF7A37"/>
    <w:rsid w:val="00B03C14"/>
    <w:rsid w:val="00B0459E"/>
    <w:rsid w:val="00B058BA"/>
    <w:rsid w:val="00B07E96"/>
    <w:rsid w:val="00B105DC"/>
    <w:rsid w:val="00B10C5C"/>
    <w:rsid w:val="00B11072"/>
    <w:rsid w:val="00B11163"/>
    <w:rsid w:val="00B13B60"/>
    <w:rsid w:val="00B15C27"/>
    <w:rsid w:val="00B16FFF"/>
    <w:rsid w:val="00B221BE"/>
    <w:rsid w:val="00B23C82"/>
    <w:rsid w:val="00B2470D"/>
    <w:rsid w:val="00B24B87"/>
    <w:rsid w:val="00B25838"/>
    <w:rsid w:val="00B26D98"/>
    <w:rsid w:val="00B30FAC"/>
    <w:rsid w:val="00B31520"/>
    <w:rsid w:val="00B31BE1"/>
    <w:rsid w:val="00B31F59"/>
    <w:rsid w:val="00B333ED"/>
    <w:rsid w:val="00B34F67"/>
    <w:rsid w:val="00B367C6"/>
    <w:rsid w:val="00B40C39"/>
    <w:rsid w:val="00B43511"/>
    <w:rsid w:val="00B43FFB"/>
    <w:rsid w:val="00B4574F"/>
    <w:rsid w:val="00B50ECA"/>
    <w:rsid w:val="00B54CEF"/>
    <w:rsid w:val="00B569D2"/>
    <w:rsid w:val="00B57060"/>
    <w:rsid w:val="00B627D0"/>
    <w:rsid w:val="00B62FA0"/>
    <w:rsid w:val="00B63047"/>
    <w:rsid w:val="00B64617"/>
    <w:rsid w:val="00B6463D"/>
    <w:rsid w:val="00B70FB7"/>
    <w:rsid w:val="00B7441E"/>
    <w:rsid w:val="00B817FD"/>
    <w:rsid w:val="00B84EF7"/>
    <w:rsid w:val="00B86EC7"/>
    <w:rsid w:val="00B9502E"/>
    <w:rsid w:val="00B9690B"/>
    <w:rsid w:val="00B96A05"/>
    <w:rsid w:val="00B96CD3"/>
    <w:rsid w:val="00B96F28"/>
    <w:rsid w:val="00B97997"/>
    <w:rsid w:val="00BA00D5"/>
    <w:rsid w:val="00BA1FC7"/>
    <w:rsid w:val="00BB30C8"/>
    <w:rsid w:val="00BB4B23"/>
    <w:rsid w:val="00BC5883"/>
    <w:rsid w:val="00BD0E4A"/>
    <w:rsid w:val="00BD262B"/>
    <w:rsid w:val="00BD2942"/>
    <w:rsid w:val="00BD467E"/>
    <w:rsid w:val="00BD758E"/>
    <w:rsid w:val="00BD77E1"/>
    <w:rsid w:val="00BD7B6E"/>
    <w:rsid w:val="00BE0BAF"/>
    <w:rsid w:val="00BE16F8"/>
    <w:rsid w:val="00BE4B8E"/>
    <w:rsid w:val="00BE5C18"/>
    <w:rsid w:val="00BE5CD9"/>
    <w:rsid w:val="00BE7F16"/>
    <w:rsid w:val="00BF0BB7"/>
    <w:rsid w:val="00BF17FB"/>
    <w:rsid w:val="00BF2307"/>
    <w:rsid w:val="00BF23A2"/>
    <w:rsid w:val="00BF282C"/>
    <w:rsid w:val="00BF37B0"/>
    <w:rsid w:val="00C03F17"/>
    <w:rsid w:val="00C04E2F"/>
    <w:rsid w:val="00C05E89"/>
    <w:rsid w:val="00C07D2B"/>
    <w:rsid w:val="00C14552"/>
    <w:rsid w:val="00C1570A"/>
    <w:rsid w:val="00C22B23"/>
    <w:rsid w:val="00C2318C"/>
    <w:rsid w:val="00C232E5"/>
    <w:rsid w:val="00C23A22"/>
    <w:rsid w:val="00C23D56"/>
    <w:rsid w:val="00C31ACD"/>
    <w:rsid w:val="00C32207"/>
    <w:rsid w:val="00C33A79"/>
    <w:rsid w:val="00C428FC"/>
    <w:rsid w:val="00C43BF0"/>
    <w:rsid w:val="00C45B30"/>
    <w:rsid w:val="00C46312"/>
    <w:rsid w:val="00C47940"/>
    <w:rsid w:val="00C47C16"/>
    <w:rsid w:val="00C5160B"/>
    <w:rsid w:val="00C5173F"/>
    <w:rsid w:val="00C51B28"/>
    <w:rsid w:val="00C55A40"/>
    <w:rsid w:val="00C56AD5"/>
    <w:rsid w:val="00C56BDE"/>
    <w:rsid w:val="00C57051"/>
    <w:rsid w:val="00C57201"/>
    <w:rsid w:val="00C578A0"/>
    <w:rsid w:val="00C60442"/>
    <w:rsid w:val="00C612E4"/>
    <w:rsid w:val="00C6181D"/>
    <w:rsid w:val="00C64918"/>
    <w:rsid w:val="00C73515"/>
    <w:rsid w:val="00C7533C"/>
    <w:rsid w:val="00C75B78"/>
    <w:rsid w:val="00C76FFC"/>
    <w:rsid w:val="00C80C61"/>
    <w:rsid w:val="00C8251D"/>
    <w:rsid w:val="00C82E33"/>
    <w:rsid w:val="00C83F72"/>
    <w:rsid w:val="00C842B4"/>
    <w:rsid w:val="00C91027"/>
    <w:rsid w:val="00C91DE3"/>
    <w:rsid w:val="00C92BC0"/>
    <w:rsid w:val="00C94C67"/>
    <w:rsid w:val="00C9780E"/>
    <w:rsid w:val="00CA0372"/>
    <w:rsid w:val="00CA2B21"/>
    <w:rsid w:val="00CB035C"/>
    <w:rsid w:val="00CB093F"/>
    <w:rsid w:val="00CB0AAF"/>
    <w:rsid w:val="00CB195E"/>
    <w:rsid w:val="00CB1A11"/>
    <w:rsid w:val="00CB4DD0"/>
    <w:rsid w:val="00CC3D44"/>
    <w:rsid w:val="00CC6505"/>
    <w:rsid w:val="00CC7DD4"/>
    <w:rsid w:val="00CD08FB"/>
    <w:rsid w:val="00CD14CC"/>
    <w:rsid w:val="00CD1E96"/>
    <w:rsid w:val="00CD27CB"/>
    <w:rsid w:val="00CD2DB7"/>
    <w:rsid w:val="00CD486E"/>
    <w:rsid w:val="00CE5175"/>
    <w:rsid w:val="00CE5EC5"/>
    <w:rsid w:val="00CE63B8"/>
    <w:rsid w:val="00CE69B6"/>
    <w:rsid w:val="00CE7A0B"/>
    <w:rsid w:val="00CF5DC1"/>
    <w:rsid w:val="00CF5F0D"/>
    <w:rsid w:val="00CF6325"/>
    <w:rsid w:val="00CF6DA9"/>
    <w:rsid w:val="00CF7FD2"/>
    <w:rsid w:val="00D00905"/>
    <w:rsid w:val="00D024DD"/>
    <w:rsid w:val="00D03FFD"/>
    <w:rsid w:val="00D051A6"/>
    <w:rsid w:val="00D05C32"/>
    <w:rsid w:val="00D10829"/>
    <w:rsid w:val="00D13DEF"/>
    <w:rsid w:val="00D14F6B"/>
    <w:rsid w:val="00D15C72"/>
    <w:rsid w:val="00D22D40"/>
    <w:rsid w:val="00D2387D"/>
    <w:rsid w:val="00D23F31"/>
    <w:rsid w:val="00D25055"/>
    <w:rsid w:val="00D254C4"/>
    <w:rsid w:val="00D261D8"/>
    <w:rsid w:val="00D33B6D"/>
    <w:rsid w:val="00D357EC"/>
    <w:rsid w:val="00D35857"/>
    <w:rsid w:val="00D42C3B"/>
    <w:rsid w:val="00D42F11"/>
    <w:rsid w:val="00D4413B"/>
    <w:rsid w:val="00D44B0F"/>
    <w:rsid w:val="00D4632A"/>
    <w:rsid w:val="00D50FB7"/>
    <w:rsid w:val="00D523FE"/>
    <w:rsid w:val="00D53A64"/>
    <w:rsid w:val="00D55312"/>
    <w:rsid w:val="00D55E38"/>
    <w:rsid w:val="00D56399"/>
    <w:rsid w:val="00D608B3"/>
    <w:rsid w:val="00D610CD"/>
    <w:rsid w:val="00D61B72"/>
    <w:rsid w:val="00D62EC2"/>
    <w:rsid w:val="00D63913"/>
    <w:rsid w:val="00D65D17"/>
    <w:rsid w:val="00D65E02"/>
    <w:rsid w:val="00D70A21"/>
    <w:rsid w:val="00D737F4"/>
    <w:rsid w:val="00D75E35"/>
    <w:rsid w:val="00D771E1"/>
    <w:rsid w:val="00D77340"/>
    <w:rsid w:val="00D7747C"/>
    <w:rsid w:val="00D86D54"/>
    <w:rsid w:val="00D8716F"/>
    <w:rsid w:val="00D9289F"/>
    <w:rsid w:val="00D940F1"/>
    <w:rsid w:val="00D9662F"/>
    <w:rsid w:val="00D972CF"/>
    <w:rsid w:val="00D97653"/>
    <w:rsid w:val="00DA45F4"/>
    <w:rsid w:val="00DA466B"/>
    <w:rsid w:val="00DA5B1C"/>
    <w:rsid w:val="00DA6397"/>
    <w:rsid w:val="00DA7D1D"/>
    <w:rsid w:val="00DB0340"/>
    <w:rsid w:val="00DB17AB"/>
    <w:rsid w:val="00DB4C9D"/>
    <w:rsid w:val="00DB6AF0"/>
    <w:rsid w:val="00DB6BD6"/>
    <w:rsid w:val="00DB7850"/>
    <w:rsid w:val="00DC1B8D"/>
    <w:rsid w:val="00DC1E9A"/>
    <w:rsid w:val="00DC3A2D"/>
    <w:rsid w:val="00DC42E1"/>
    <w:rsid w:val="00DC561B"/>
    <w:rsid w:val="00DC6513"/>
    <w:rsid w:val="00DC65FB"/>
    <w:rsid w:val="00DC7145"/>
    <w:rsid w:val="00DC75B2"/>
    <w:rsid w:val="00DC7610"/>
    <w:rsid w:val="00DD03E3"/>
    <w:rsid w:val="00DD4D3D"/>
    <w:rsid w:val="00DD4EC1"/>
    <w:rsid w:val="00DD5350"/>
    <w:rsid w:val="00DD5C43"/>
    <w:rsid w:val="00DD784F"/>
    <w:rsid w:val="00DD7D8B"/>
    <w:rsid w:val="00DE030B"/>
    <w:rsid w:val="00DE3D91"/>
    <w:rsid w:val="00DE4132"/>
    <w:rsid w:val="00DE7F7B"/>
    <w:rsid w:val="00DF1936"/>
    <w:rsid w:val="00DF31D0"/>
    <w:rsid w:val="00DF79A0"/>
    <w:rsid w:val="00E01BC8"/>
    <w:rsid w:val="00E044C8"/>
    <w:rsid w:val="00E05A99"/>
    <w:rsid w:val="00E05B4C"/>
    <w:rsid w:val="00E07D26"/>
    <w:rsid w:val="00E13423"/>
    <w:rsid w:val="00E14ED0"/>
    <w:rsid w:val="00E15CCA"/>
    <w:rsid w:val="00E179AC"/>
    <w:rsid w:val="00E204CD"/>
    <w:rsid w:val="00E21EF7"/>
    <w:rsid w:val="00E24E1A"/>
    <w:rsid w:val="00E256C9"/>
    <w:rsid w:val="00E2580B"/>
    <w:rsid w:val="00E25BEC"/>
    <w:rsid w:val="00E31572"/>
    <w:rsid w:val="00E31E68"/>
    <w:rsid w:val="00E3239D"/>
    <w:rsid w:val="00E33C12"/>
    <w:rsid w:val="00E34141"/>
    <w:rsid w:val="00E3569D"/>
    <w:rsid w:val="00E40BA7"/>
    <w:rsid w:val="00E41212"/>
    <w:rsid w:val="00E41A1A"/>
    <w:rsid w:val="00E465B8"/>
    <w:rsid w:val="00E4677E"/>
    <w:rsid w:val="00E570F7"/>
    <w:rsid w:val="00E614D6"/>
    <w:rsid w:val="00E61B65"/>
    <w:rsid w:val="00E6212B"/>
    <w:rsid w:val="00E62DC2"/>
    <w:rsid w:val="00E62EC5"/>
    <w:rsid w:val="00E63DD9"/>
    <w:rsid w:val="00E64816"/>
    <w:rsid w:val="00E66CB7"/>
    <w:rsid w:val="00E72EAE"/>
    <w:rsid w:val="00E73776"/>
    <w:rsid w:val="00E73B64"/>
    <w:rsid w:val="00E73E31"/>
    <w:rsid w:val="00E77E46"/>
    <w:rsid w:val="00E802E5"/>
    <w:rsid w:val="00E8220D"/>
    <w:rsid w:val="00E84535"/>
    <w:rsid w:val="00E84DB8"/>
    <w:rsid w:val="00E861B9"/>
    <w:rsid w:val="00E86506"/>
    <w:rsid w:val="00E87FD2"/>
    <w:rsid w:val="00E90DD6"/>
    <w:rsid w:val="00E93F88"/>
    <w:rsid w:val="00E953D3"/>
    <w:rsid w:val="00E956BA"/>
    <w:rsid w:val="00E96BFC"/>
    <w:rsid w:val="00E97298"/>
    <w:rsid w:val="00EA2142"/>
    <w:rsid w:val="00EA2F2E"/>
    <w:rsid w:val="00EA5562"/>
    <w:rsid w:val="00EA6775"/>
    <w:rsid w:val="00EB0073"/>
    <w:rsid w:val="00EB35A9"/>
    <w:rsid w:val="00EB39C1"/>
    <w:rsid w:val="00EB5C3A"/>
    <w:rsid w:val="00EB609C"/>
    <w:rsid w:val="00EC066F"/>
    <w:rsid w:val="00EC4AB1"/>
    <w:rsid w:val="00ED2031"/>
    <w:rsid w:val="00ED3AB3"/>
    <w:rsid w:val="00ED40E0"/>
    <w:rsid w:val="00ED440D"/>
    <w:rsid w:val="00ED45C3"/>
    <w:rsid w:val="00EE2CB5"/>
    <w:rsid w:val="00EE3893"/>
    <w:rsid w:val="00EF579E"/>
    <w:rsid w:val="00EF5D5A"/>
    <w:rsid w:val="00EF6723"/>
    <w:rsid w:val="00EF7335"/>
    <w:rsid w:val="00EF752D"/>
    <w:rsid w:val="00F00320"/>
    <w:rsid w:val="00F00553"/>
    <w:rsid w:val="00F018D7"/>
    <w:rsid w:val="00F05543"/>
    <w:rsid w:val="00F0661D"/>
    <w:rsid w:val="00F067E0"/>
    <w:rsid w:val="00F0709F"/>
    <w:rsid w:val="00F13527"/>
    <w:rsid w:val="00F16EFE"/>
    <w:rsid w:val="00F17154"/>
    <w:rsid w:val="00F226A1"/>
    <w:rsid w:val="00F262DE"/>
    <w:rsid w:val="00F30CB6"/>
    <w:rsid w:val="00F30FA1"/>
    <w:rsid w:val="00F32A99"/>
    <w:rsid w:val="00F3507C"/>
    <w:rsid w:val="00F358EA"/>
    <w:rsid w:val="00F4195A"/>
    <w:rsid w:val="00F432FE"/>
    <w:rsid w:val="00F43D03"/>
    <w:rsid w:val="00F473BE"/>
    <w:rsid w:val="00F4755C"/>
    <w:rsid w:val="00F5002D"/>
    <w:rsid w:val="00F50CFB"/>
    <w:rsid w:val="00F55B16"/>
    <w:rsid w:val="00F569F9"/>
    <w:rsid w:val="00F600B5"/>
    <w:rsid w:val="00F601D4"/>
    <w:rsid w:val="00F64776"/>
    <w:rsid w:val="00F64E10"/>
    <w:rsid w:val="00F6624B"/>
    <w:rsid w:val="00F66DF6"/>
    <w:rsid w:val="00F67F0F"/>
    <w:rsid w:val="00F702D8"/>
    <w:rsid w:val="00F70518"/>
    <w:rsid w:val="00F70691"/>
    <w:rsid w:val="00F70AD3"/>
    <w:rsid w:val="00F7272F"/>
    <w:rsid w:val="00F72E02"/>
    <w:rsid w:val="00F7327C"/>
    <w:rsid w:val="00F7463F"/>
    <w:rsid w:val="00F7471A"/>
    <w:rsid w:val="00F75816"/>
    <w:rsid w:val="00F83258"/>
    <w:rsid w:val="00F8685B"/>
    <w:rsid w:val="00F912C3"/>
    <w:rsid w:val="00F927C7"/>
    <w:rsid w:val="00F93143"/>
    <w:rsid w:val="00F944EF"/>
    <w:rsid w:val="00F94832"/>
    <w:rsid w:val="00FA2EC6"/>
    <w:rsid w:val="00FA3162"/>
    <w:rsid w:val="00FA452D"/>
    <w:rsid w:val="00FA60C8"/>
    <w:rsid w:val="00FA7629"/>
    <w:rsid w:val="00FB050B"/>
    <w:rsid w:val="00FB0D83"/>
    <w:rsid w:val="00FB267E"/>
    <w:rsid w:val="00FB3E0B"/>
    <w:rsid w:val="00FB5E0A"/>
    <w:rsid w:val="00FB701B"/>
    <w:rsid w:val="00FC15C8"/>
    <w:rsid w:val="00FC2E24"/>
    <w:rsid w:val="00FC3F09"/>
    <w:rsid w:val="00FC47FB"/>
    <w:rsid w:val="00FC73A2"/>
    <w:rsid w:val="00FD2062"/>
    <w:rsid w:val="00FD22E5"/>
    <w:rsid w:val="00FD30D1"/>
    <w:rsid w:val="00FD443E"/>
    <w:rsid w:val="00FD557F"/>
    <w:rsid w:val="00FD754D"/>
    <w:rsid w:val="00FE442C"/>
    <w:rsid w:val="00FE5ACB"/>
    <w:rsid w:val="00FE71EB"/>
    <w:rsid w:val="00FF00C5"/>
    <w:rsid w:val="00FF248F"/>
    <w:rsid w:val="00FF68B9"/>
    <w:rsid w:val="00FF68F8"/>
    <w:rsid w:val="01C52B8A"/>
    <w:rsid w:val="01F90D59"/>
    <w:rsid w:val="02264A9E"/>
    <w:rsid w:val="02D635BB"/>
    <w:rsid w:val="034C15CD"/>
    <w:rsid w:val="05BE6220"/>
    <w:rsid w:val="06933491"/>
    <w:rsid w:val="06B95EEE"/>
    <w:rsid w:val="06C735AB"/>
    <w:rsid w:val="083B64E6"/>
    <w:rsid w:val="09C90B80"/>
    <w:rsid w:val="0A4C13DB"/>
    <w:rsid w:val="0A570253"/>
    <w:rsid w:val="0A7C21D5"/>
    <w:rsid w:val="0BEC7EA0"/>
    <w:rsid w:val="0C192F2A"/>
    <w:rsid w:val="0D436AAA"/>
    <w:rsid w:val="0D8616A1"/>
    <w:rsid w:val="0F3EAE38"/>
    <w:rsid w:val="0F577BE7"/>
    <w:rsid w:val="117017D8"/>
    <w:rsid w:val="117A2ECF"/>
    <w:rsid w:val="11A23C46"/>
    <w:rsid w:val="128516FD"/>
    <w:rsid w:val="13867403"/>
    <w:rsid w:val="138E3AD9"/>
    <w:rsid w:val="13DD5A3C"/>
    <w:rsid w:val="142853B7"/>
    <w:rsid w:val="14D341AB"/>
    <w:rsid w:val="14FA35A4"/>
    <w:rsid w:val="14FFE20E"/>
    <w:rsid w:val="156F5D8D"/>
    <w:rsid w:val="175A6951"/>
    <w:rsid w:val="17D80E5D"/>
    <w:rsid w:val="18863040"/>
    <w:rsid w:val="18AE550D"/>
    <w:rsid w:val="19420B64"/>
    <w:rsid w:val="19FE479F"/>
    <w:rsid w:val="1BCB648E"/>
    <w:rsid w:val="1C0B123A"/>
    <w:rsid w:val="1C6D218D"/>
    <w:rsid w:val="1E570D28"/>
    <w:rsid w:val="1FB385F9"/>
    <w:rsid w:val="1FE91B92"/>
    <w:rsid w:val="257F5C9F"/>
    <w:rsid w:val="25D1396C"/>
    <w:rsid w:val="29C15017"/>
    <w:rsid w:val="2A8D465A"/>
    <w:rsid w:val="2C801BC6"/>
    <w:rsid w:val="2C843193"/>
    <w:rsid w:val="2D9C28CC"/>
    <w:rsid w:val="2E2301DF"/>
    <w:rsid w:val="309F0C1A"/>
    <w:rsid w:val="31234BCD"/>
    <w:rsid w:val="3169578D"/>
    <w:rsid w:val="32F9774B"/>
    <w:rsid w:val="33F2F256"/>
    <w:rsid w:val="33FFED2D"/>
    <w:rsid w:val="36C42976"/>
    <w:rsid w:val="37B02184"/>
    <w:rsid w:val="37CD36B1"/>
    <w:rsid w:val="37FF393A"/>
    <w:rsid w:val="380F5149"/>
    <w:rsid w:val="382A7CAA"/>
    <w:rsid w:val="38536ED3"/>
    <w:rsid w:val="387725FA"/>
    <w:rsid w:val="38D641A2"/>
    <w:rsid w:val="39A33C74"/>
    <w:rsid w:val="3BDE60F0"/>
    <w:rsid w:val="3BFB9483"/>
    <w:rsid w:val="3D26782E"/>
    <w:rsid w:val="3D8328FB"/>
    <w:rsid w:val="3F5BE40E"/>
    <w:rsid w:val="3F6A5050"/>
    <w:rsid w:val="3FB96EEB"/>
    <w:rsid w:val="3FFA55D5"/>
    <w:rsid w:val="3FFFEE0B"/>
    <w:rsid w:val="41464F8F"/>
    <w:rsid w:val="41723032"/>
    <w:rsid w:val="426C1815"/>
    <w:rsid w:val="43D84C74"/>
    <w:rsid w:val="43E2636A"/>
    <w:rsid w:val="44855992"/>
    <w:rsid w:val="449874E5"/>
    <w:rsid w:val="467D1614"/>
    <w:rsid w:val="469475AC"/>
    <w:rsid w:val="46C13206"/>
    <w:rsid w:val="485D6518"/>
    <w:rsid w:val="48E10914"/>
    <w:rsid w:val="499F673A"/>
    <w:rsid w:val="4AE8321B"/>
    <w:rsid w:val="4B7C35C8"/>
    <w:rsid w:val="4B800939"/>
    <w:rsid w:val="4C1A048F"/>
    <w:rsid w:val="4C26199E"/>
    <w:rsid w:val="4C360414"/>
    <w:rsid w:val="4CA85C1C"/>
    <w:rsid w:val="4CED041B"/>
    <w:rsid w:val="4D9755D1"/>
    <w:rsid w:val="4FBE309C"/>
    <w:rsid w:val="502F808A"/>
    <w:rsid w:val="509E2486"/>
    <w:rsid w:val="512113AA"/>
    <w:rsid w:val="512E6DE1"/>
    <w:rsid w:val="51E77B87"/>
    <w:rsid w:val="54CD6705"/>
    <w:rsid w:val="54FF4283"/>
    <w:rsid w:val="55E2288E"/>
    <w:rsid w:val="57315EF1"/>
    <w:rsid w:val="57626A3C"/>
    <w:rsid w:val="57BA58F3"/>
    <w:rsid w:val="57BB886E"/>
    <w:rsid w:val="58ED4B3A"/>
    <w:rsid w:val="58EF44E8"/>
    <w:rsid w:val="591D3208"/>
    <w:rsid w:val="591D447D"/>
    <w:rsid w:val="59772D15"/>
    <w:rsid w:val="59BB0AD9"/>
    <w:rsid w:val="5A1D5C5B"/>
    <w:rsid w:val="5AF62468"/>
    <w:rsid w:val="5B7D4AA8"/>
    <w:rsid w:val="5C2A3E31"/>
    <w:rsid w:val="5CDF6FD6"/>
    <w:rsid w:val="5CFA6768"/>
    <w:rsid w:val="5F777B38"/>
    <w:rsid w:val="5F90532A"/>
    <w:rsid w:val="5FFD6800"/>
    <w:rsid w:val="600B1B2F"/>
    <w:rsid w:val="60A31D4A"/>
    <w:rsid w:val="614F1D01"/>
    <w:rsid w:val="62112444"/>
    <w:rsid w:val="63E446CD"/>
    <w:rsid w:val="651939BA"/>
    <w:rsid w:val="67137A91"/>
    <w:rsid w:val="67EE9858"/>
    <w:rsid w:val="67F3D028"/>
    <w:rsid w:val="68A67C63"/>
    <w:rsid w:val="69EF74F0"/>
    <w:rsid w:val="6A247931"/>
    <w:rsid w:val="6AB973C7"/>
    <w:rsid w:val="6B3767D7"/>
    <w:rsid w:val="6B537F4A"/>
    <w:rsid w:val="6B6F1378"/>
    <w:rsid w:val="6B8604D9"/>
    <w:rsid w:val="6D2F38B9"/>
    <w:rsid w:val="6D9B3CFC"/>
    <w:rsid w:val="6DC15218"/>
    <w:rsid w:val="6E8A7C3C"/>
    <w:rsid w:val="6EA36D2D"/>
    <w:rsid w:val="6EFFD205"/>
    <w:rsid w:val="6F30482E"/>
    <w:rsid w:val="6FBE59AE"/>
    <w:rsid w:val="6FDF40E9"/>
    <w:rsid w:val="6FEBA25A"/>
    <w:rsid w:val="6FFD3A25"/>
    <w:rsid w:val="702308FE"/>
    <w:rsid w:val="70447118"/>
    <w:rsid w:val="716B2E7C"/>
    <w:rsid w:val="723D0CF2"/>
    <w:rsid w:val="72E3016B"/>
    <w:rsid w:val="73254614"/>
    <w:rsid w:val="73F6015B"/>
    <w:rsid w:val="74852AEA"/>
    <w:rsid w:val="753307D4"/>
    <w:rsid w:val="75BCF451"/>
    <w:rsid w:val="77DC1961"/>
    <w:rsid w:val="77E46285"/>
    <w:rsid w:val="77FD4CE2"/>
    <w:rsid w:val="78FF4CE5"/>
    <w:rsid w:val="79F3692D"/>
    <w:rsid w:val="7A4B5B5D"/>
    <w:rsid w:val="7B3304CA"/>
    <w:rsid w:val="7BBEFD12"/>
    <w:rsid w:val="7BF3BC36"/>
    <w:rsid w:val="7C4923CF"/>
    <w:rsid w:val="7C4B623D"/>
    <w:rsid w:val="7DBF1715"/>
    <w:rsid w:val="7DC1622C"/>
    <w:rsid w:val="7DE70258"/>
    <w:rsid w:val="7DF9EFDA"/>
    <w:rsid w:val="7DFFA378"/>
    <w:rsid w:val="7E386687"/>
    <w:rsid w:val="7E5270EE"/>
    <w:rsid w:val="7ED7D28C"/>
    <w:rsid w:val="7EF5E0EE"/>
    <w:rsid w:val="7F086C78"/>
    <w:rsid w:val="7F0F2F74"/>
    <w:rsid w:val="7F5D99AD"/>
    <w:rsid w:val="7F77C49B"/>
    <w:rsid w:val="7F7A44CD"/>
    <w:rsid w:val="7FBE64D2"/>
    <w:rsid w:val="7FEC11EE"/>
    <w:rsid w:val="7FF321B2"/>
    <w:rsid w:val="7FF6A3BE"/>
    <w:rsid w:val="7FF71407"/>
    <w:rsid w:val="7FFE62BE"/>
    <w:rsid w:val="7FFF9A40"/>
    <w:rsid w:val="975FC316"/>
    <w:rsid w:val="9BFB7951"/>
    <w:rsid w:val="9DD752D6"/>
    <w:rsid w:val="9E67C1D0"/>
    <w:rsid w:val="AB7DC06A"/>
    <w:rsid w:val="AE199D32"/>
    <w:rsid w:val="AFF740F2"/>
    <w:rsid w:val="B9D7C05D"/>
    <w:rsid w:val="BB9F19F5"/>
    <w:rsid w:val="BCEF609F"/>
    <w:rsid w:val="BFEA2705"/>
    <w:rsid w:val="C7DFF0E8"/>
    <w:rsid w:val="CFEB32E8"/>
    <w:rsid w:val="CFF12678"/>
    <w:rsid w:val="D57F2E75"/>
    <w:rsid w:val="D6FAE7F0"/>
    <w:rsid w:val="D7EFE3B6"/>
    <w:rsid w:val="D7FD7485"/>
    <w:rsid w:val="DAC5B23E"/>
    <w:rsid w:val="DAFF21E7"/>
    <w:rsid w:val="DDF3CEA1"/>
    <w:rsid w:val="DF7764C0"/>
    <w:rsid w:val="DFFF0873"/>
    <w:rsid w:val="E3E77FCD"/>
    <w:rsid w:val="E5BE61F1"/>
    <w:rsid w:val="EBFF9B38"/>
    <w:rsid w:val="EF66CED4"/>
    <w:rsid w:val="EFDB8316"/>
    <w:rsid w:val="EFF38A0A"/>
    <w:rsid w:val="F5BBD56C"/>
    <w:rsid w:val="F6BF5D53"/>
    <w:rsid w:val="F7ADD192"/>
    <w:rsid w:val="F7FD5A0C"/>
    <w:rsid w:val="F9FFD84B"/>
    <w:rsid w:val="FA17CE15"/>
    <w:rsid w:val="FAFF7E8D"/>
    <w:rsid w:val="FC7FFECE"/>
    <w:rsid w:val="FCFE5109"/>
    <w:rsid w:val="FDCFBAE9"/>
    <w:rsid w:val="FDDFACB5"/>
    <w:rsid w:val="FDF7B498"/>
    <w:rsid w:val="FEA5F194"/>
    <w:rsid w:val="FEEFD314"/>
    <w:rsid w:val="FEFAAC28"/>
    <w:rsid w:val="FEFD50BD"/>
    <w:rsid w:val="FF9F2818"/>
    <w:rsid w:val="FFCEB378"/>
    <w:rsid w:val="FFED3C5D"/>
    <w:rsid w:val="FFF873F7"/>
    <w:rsid w:val="FFFF6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50" w:beforeLines="50" w:after="50" w:afterLines="50"/>
      <w:outlineLvl w:val="0"/>
    </w:pPr>
    <w:rPr>
      <w:rFonts w:ascii="黑体" w:hAnsi="黑体" w:eastAsia="黑体"/>
      <w:bCs/>
      <w:kern w:val="44"/>
      <w:sz w:val="30"/>
      <w:szCs w:val="44"/>
    </w:rPr>
  </w:style>
  <w:style w:type="paragraph" w:styleId="3">
    <w:name w:val="heading 2"/>
    <w:basedOn w:val="1"/>
    <w:next w:val="1"/>
    <w:qFormat/>
    <w:uiPriority w:val="9"/>
    <w:pPr>
      <w:keepNext/>
      <w:keepLines/>
      <w:outlineLvl w:val="1"/>
    </w:pPr>
    <w:rPr>
      <w:b/>
      <w:bCs/>
      <w:kern w:val="0"/>
      <w:szCs w:val="32"/>
    </w:rPr>
  </w:style>
  <w:style w:type="character" w:default="1" w:styleId="11">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4">
    <w:name w:val="Document Map"/>
    <w:basedOn w:val="1"/>
    <w:semiHidden/>
    <w:qFormat/>
    <w:uiPriority w:val="0"/>
    <w:pPr>
      <w:shd w:val="clear" w:color="auto" w:fill="000080"/>
    </w:pPr>
  </w:style>
  <w:style w:type="paragraph" w:styleId="5">
    <w:name w:val="Balloon Text"/>
    <w:basedOn w:val="1"/>
    <w:semiHidden/>
    <w:qFormat/>
    <w:uiPriority w:val="0"/>
    <w:rPr>
      <w:sz w:val="18"/>
      <w:szCs w:val="18"/>
    </w:rPr>
  </w:style>
  <w:style w:type="paragraph" w:styleId="6">
    <w:name w:val="footer"/>
    <w:basedOn w:val="1"/>
    <w:link w:val="21"/>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next w:val="1"/>
    <w:link w:val="35"/>
    <w:qFormat/>
    <w:uiPriority w:val="0"/>
    <w:pPr>
      <w:spacing w:before="240" w:after="60"/>
      <w:jc w:val="center"/>
      <w:outlineLvl w:val="0"/>
    </w:pPr>
    <w:rPr>
      <w:rFonts w:asciiTheme="majorHAnsi" w:hAnsiTheme="majorHAnsi" w:cstheme="majorBidi"/>
      <w:b/>
      <w:bCs/>
      <w:sz w:val="32"/>
      <w:szCs w:val="32"/>
    </w:rPr>
  </w:style>
  <w:style w:type="character" w:styleId="12">
    <w:name w:val="page number"/>
    <w:basedOn w:val="11"/>
    <w:qFormat/>
    <w:uiPriority w:val="0"/>
  </w:style>
  <w:style w:type="character" w:styleId="13">
    <w:name w:val="Hyperlink"/>
    <w:unhideWhenUsed/>
    <w:qFormat/>
    <w:uiPriority w:val="99"/>
    <w:rPr>
      <w:color w:val="0000FF"/>
      <w:u w:val="single"/>
    </w:rPr>
  </w:style>
  <w:style w:type="table" w:styleId="15">
    <w:name w:val="Table Grid"/>
    <w:basedOn w:val="1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16">
    <w:name w:val="页眉 Char"/>
    <w:link w:val="7"/>
    <w:qFormat/>
    <w:uiPriority w:val="99"/>
    <w:rPr>
      <w:kern w:val="2"/>
      <w:sz w:val="18"/>
      <w:szCs w:val="18"/>
    </w:rPr>
  </w:style>
  <w:style w:type="character" w:customStyle="1" w:styleId="17">
    <w:name w:val="font51"/>
    <w:qFormat/>
    <w:uiPriority w:val="0"/>
    <w:rPr>
      <w:rFonts w:hint="default" w:ascii="Times New Roman" w:hAnsi="Times New Roman" w:cs="Times New Roman"/>
      <w:color w:val="000000"/>
      <w:sz w:val="24"/>
      <w:szCs w:val="24"/>
      <w:u w:val="none"/>
    </w:rPr>
  </w:style>
  <w:style w:type="character" w:customStyle="1" w:styleId="18">
    <w:name w:val="font21"/>
    <w:qFormat/>
    <w:uiPriority w:val="0"/>
    <w:rPr>
      <w:rFonts w:hint="default" w:ascii="Times New Roman" w:hAnsi="Times New Roman" w:cs="Times New Roman"/>
      <w:color w:val="000000"/>
      <w:sz w:val="18"/>
      <w:szCs w:val="18"/>
      <w:u w:val="none"/>
    </w:rPr>
  </w:style>
  <w:style w:type="character" w:customStyle="1" w:styleId="19">
    <w:name w:val="font01"/>
    <w:qFormat/>
    <w:uiPriority w:val="0"/>
    <w:rPr>
      <w:rFonts w:hint="eastAsia" w:ascii="等线" w:hAnsi="等线" w:eastAsia="等线" w:cs="等线"/>
      <w:color w:val="000000"/>
      <w:sz w:val="22"/>
      <w:szCs w:val="22"/>
      <w:u w:val="none"/>
    </w:rPr>
  </w:style>
  <w:style w:type="character" w:customStyle="1" w:styleId="20">
    <w:name w:val="font61"/>
    <w:qFormat/>
    <w:uiPriority w:val="0"/>
    <w:rPr>
      <w:rFonts w:hint="default" w:ascii="等线" w:hAnsi="等线" w:eastAsia="等线" w:cs="等线"/>
      <w:color w:val="000000"/>
      <w:sz w:val="18"/>
      <w:szCs w:val="18"/>
      <w:u w:val="none"/>
    </w:rPr>
  </w:style>
  <w:style w:type="character" w:customStyle="1" w:styleId="21">
    <w:name w:val="页脚 Char"/>
    <w:link w:val="6"/>
    <w:qFormat/>
    <w:uiPriority w:val="99"/>
    <w:rPr>
      <w:kern w:val="2"/>
      <w:sz w:val="18"/>
      <w:szCs w:val="18"/>
    </w:rPr>
  </w:style>
  <w:style w:type="character" w:customStyle="1" w:styleId="22">
    <w:name w:val="font41"/>
    <w:qFormat/>
    <w:uiPriority w:val="0"/>
    <w:rPr>
      <w:rFonts w:hint="eastAsia" w:ascii="宋体" w:hAnsi="宋体" w:eastAsia="宋体" w:cs="宋体"/>
      <w:color w:val="000000"/>
      <w:sz w:val="18"/>
      <w:szCs w:val="18"/>
      <w:u w:val="none"/>
    </w:rPr>
  </w:style>
  <w:style w:type="character" w:customStyle="1" w:styleId="23">
    <w:name w:val="font11"/>
    <w:qFormat/>
    <w:uiPriority w:val="0"/>
    <w:rPr>
      <w:rFonts w:hint="default" w:ascii="Times New Roman" w:hAnsi="Times New Roman" w:cs="Times New Roman"/>
      <w:color w:val="000000"/>
      <w:sz w:val="18"/>
      <w:szCs w:val="18"/>
      <w:u w:val="none"/>
    </w:rPr>
  </w:style>
  <w:style w:type="character" w:customStyle="1" w:styleId="24">
    <w:name w:val="font71"/>
    <w:qFormat/>
    <w:uiPriority w:val="0"/>
    <w:rPr>
      <w:rFonts w:ascii="等线" w:hAnsi="等线" w:eastAsia="等线" w:cs="等线"/>
      <w:color w:val="000000"/>
      <w:sz w:val="18"/>
      <w:szCs w:val="18"/>
      <w:u w:val="none"/>
    </w:rPr>
  </w:style>
  <w:style w:type="character" w:customStyle="1" w:styleId="25">
    <w:name w:val="font31"/>
    <w:qFormat/>
    <w:uiPriority w:val="0"/>
    <w:rPr>
      <w:rFonts w:ascii="等线" w:hAnsi="等线" w:eastAsia="等线" w:cs="等线"/>
      <w:color w:val="000000"/>
      <w:sz w:val="18"/>
      <w:szCs w:val="18"/>
      <w:u w:val="none"/>
    </w:rPr>
  </w:style>
  <w:style w:type="paragraph" w:customStyle="1" w:styleId="26">
    <w:name w:val="表格"/>
    <w:basedOn w:val="1"/>
    <w:qFormat/>
    <w:uiPriority w:val="0"/>
    <w:pPr>
      <w:widowControl/>
      <w:spacing w:after="50" w:afterLines="50" w:line="240" w:lineRule="exact"/>
      <w:jc w:val="left"/>
    </w:pPr>
    <w:rPr>
      <w:kern w:val="0"/>
    </w:rPr>
  </w:style>
  <w:style w:type="paragraph" w:customStyle="1" w:styleId="27">
    <w:name w:val="列项——（一级）"/>
    <w:qFormat/>
    <w:uiPriority w:val="0"/>
    <w:pPr>
      <w:widowControl w:val="0"/>
      <w:tabs>
        <w:tab w:val="left" w:pos="1140"/>
      </w:tabs>
      <w:spacing w:after="160" w:line="259" w:lineRule="auto"/>
      <w:jc w:val="both"/>
    </w:pPr>
    <w:rPr>
      <w:rFonts w:ascii="宋体" w:hAnsi="Times New Roman" w:eastAsia="宋体" w:cs="Times New Roman"/>
      <w:sz w:val="21"/>
      <w:lang w:val="en-US" w:eastAsia="zh-CN" w:bidi="ar-SA"/>
    </w:rPr>
  </w:style>
  <w:style w:type="paragraph" w:customStyle="1" w:styleId="28">
    <w:name w:val="标题1-1"/>
    <w:qFormat/>
    <w:uiPriority w:val="0"/>
    <w:pPr>
      <w:spacing w:before="100" w:beforeLines="100" w:after="50" w:afterLines="50"/>
      <w:ind w:firstLine="640" w:firstLineChars="200"/>
    </w:pPr>
    <w:rPr>
      <w:rFonts w:ascii="黑体" w:hAnsi="黑体" w:eastAsia="黑体" w:cs="Times New Roman"/>
      <w:sz w:val="28"/>
      <w:lang w:val="en-US" w:eastAsia="zh-CN" w:bidi="ar-SA"/>
    </w:rPr>
  </w:style>
  <w:style w:type="paragraph" w:customStyle="1" w:styleId="29">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30">
    <w:name w:val="正文1-1"/>
    <w:qFormat/>
    <w:uiPriority w:val="0"/>
    <w:pPr>
      <w:spacing w:line="300" w:lineRule="auto"/>
      <w:ind w:firstLine="640" w:firstLineChars="200"/>
    </w:pPr>
    <w:rPr>
      <w:rFonts w:ascii="Times New Roman" w:hAnsi="Times New Roman" w:eastAsia="宋体" w:cs="Times New Roman"/>
      <w:sz w:val="21"/>
      <w:lang w:val="en-US" w:eastAsia="zh-CN" w:bidi="ar-SA"/>
    </w:rPr>
  </w:style>
  <w:style w:type="paragraph" w:customStyle="1" w:styleId="31">
    <w:name w:val="List Paragraph"/>
    <w:basedOn w:val="1"/>
    <w:qFormat/>
    <w:uiPriority w:val="34"/>
    <w:pPr>
      <w:ind w:firstLine="420"/>
    </w:pPr>
  </w:style>
  <w:style w:type="paragraph" w:customStyle="1" w:styleId="32">
    <w:name w:val="表标题"/>
    <w:basedOn w:val="1"/>
    <w:qFormat/>
    <w:uiPriority w:val="0"/>
    <w:pPr>
      <w:widowControl/>
      <w:spacing w:before="50" w:beforeLines="50" w:after="50" w:afterLines="50"/>
      <w:jc w:val="center"/>
    </w:pPr>
    <w:rPr>
      <w:rFonts w:eastAsia="黑体"/>
      <w:kern w:val="0"/>
    </w:rPr>
  </w:style>
  <w:style w:type="table" w:customStyle="1" w:styleId="33">
    <w:name w:val="网格型11"/>
    <w:basedOn w:val="14"/>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4">
    <w:name w:val="网格型12"/>
    <w:basedOn w:val="14"/>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5">
    <w:name w:val="标题 Char"/>
    <w:basedOn w:val="11"/>
    <w:link w:val="10"/>
    <w:qFormat/>
    <w:uiPriority w:val="0"/>
    <w:rPr>
      <w:rFonts w:asciiTheme="majorHAnsi" w:hAnsiTheme="majorHAnsi" w:cstheme="majorBidi"/>
      <w:b/>
      <w:bCs/>
      <w:kern w:val="2"/>
      <w:sz w:val="32"/>
      <w:szCs w:val="32"/>
    </w:rPr>
  </w:style>
  <w:style w:type="paragraph" w:customStyle="1" w:styleId="36">
    <w:name w:val="TOC Heading"/>
    <w:basedOn w:val="2"/>
    <w:next w:val="1"/>
    <w:unhideWhenUsed/>
    <w:qFormat/>
    <w:uiPriority w:val="39"/>
    <w:pPr>
      <w:widowControl/>
      <w:spacing w:before="480" w:beforeLines="0" w:after="0" w:afterLines="0" w:line="276" w:lineRule="auto"/>
      <w:jc w:val="left"/>
      <w:outlineLvl w:val="9"/>
    </w:pPr>
    <w:rPr>
      <w:rFonts w:asciiTheme="majorHAnsi" w:hAnsiTheme="majorHAnsi" w:eastAsiaTheme="majorEastAsia" w:cstheme="majorBidi"/>
      <w:b/>
      <w:color w:val="376092" w:themeColor="accent1" w:themeShade="BF"/>
      <w:kern w:val="0"/>
      <w:sz w:val="28"/>
      <w:szCs w:val="28"/>
    </w:rPr>
  </w:style>
  <w:style w:type="paragraph" w:customStyle="1" w:styleId="37">
    <w:name w:val="List Paragraph1"/>
    <w:basedOn w:val="1"/>
    <w:qFormat/>
    <w:uiPriority w:val="0"/>
    <w:pPr>
      <w:widowControl w:val="0"/>
      <w:spacing w:line="256" w:lineRule="auto"/>
      <w:ind w:left="720"/>
      <w:contextualSpacing/>
      <w:jc w:val="both"/>
    </w:pPr>
    <w:rPr>
      <w:rFonts w:ascii="Calibri" w:hAnsi="Calibri" w:eastAsia="宋体" w:cs="Times New Roman"/>
      <w:sz w:val="21"/>
      <w:szCs w:val="21"/>
      <w14:ligatures w14:val="none"/>
    </w:rPr>
  </w:style>
  <w:style w:type="paragraph" w:customStyle="1" w:styleId="38">
    <w:name w:val="paragraph"/>
    <w:basedOn w:val="1"/>
    <w:qFormat/>
    <w:uiPriority w:val="0"/>
    <w:pPr>
      <w:spacing w:before="100" w:beforeAutospacing="1" w:after="100" w:afterAutospacing="1"/>
    </w:pPr>
    <w:rPr>
      <w:rFonts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Xtzj.Com</Company>
  <Pages>11</Pages>
  <Words>3464</Words>
  <Characters>3636</Characters>
  <Lines>26</Lines>
  <Paragraphs>7</Paragraphs>
  <TotalTime>0</TotalTime>
  <ScaleCrop>false</ScaleCrop>
  <LinksUpToDate>false</LinksUpToDate>
  <CharactersWithSpaces>3931</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2024-11-25T08:31:00Z</dcterms:created>
  <dc:creator>Xtzj.User</dc:creator>
  <cp:lastModifiedBy>chenning</cp:lastModifiedBy>
  <cp:lastPrinted>2024-09-23T07:19:00Z</cp:lastPrinted>
  <dcterms:modified xsi:type="dcterms:W3CDTF">2024-12-16T09:02:46Z</dcterms:modified>
  <dc:title>（局发文式样）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C9C1C6B80D2C4432A5F8C58103C26AA8_12</vt:lpwstr>
  </property>
</Properties>
</file>