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黑体"/>
          <w:sz w:val="32"/>
          <w:szCs w:val="32"/>
        </w:rPr>
      </w:pPr>
    </w:p>
    <w:p>
      <w:pPr>
        <w:jc w:val="both"/>
        <w:rPr>
          <w:rFonts w:eastAsia="方正小标宋简体"/>
          <w:sz w:val="28"/>
          <w:szCs w:val="28"/>
        </w:rPr>
      </w:pPr>
    </w:p>
    <w:p>
      <w:pPr>
        <w:spacing w:before="120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化妆品安全评估</w:t>
      </w:r>
      <w:r>
        <w:rPr>
          <w:rFonts w:hint="eastAsia" w:eastAsia="方正小标宋简体"/>
          <w:sz w:val="44"/>
          <w:szCs w:val="44"/>
        </w:rPr>
        <w:t>报告（完整版）</w:t>
      </w:r>
    </w:p>
    <w:p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before="120"/>
        <w:ind w:firstLine="560"/>
        <w:jc w:val="right"/>
      </w:pPr>
      <w:r>
        <w:rPr>
          <w:rFonts w:ascii="Times New Roman" w:hAnsi="Times New Roman" w:eastAsia="仿宋_GB2312" w:cs="Times New Roman"/>
          <w:sz w:val="32"/>
          <w:szCs w:val="32"/>
        </w:rPr>
        <w:t>注：本示例格式和内容仅供参考</w:t>
      </w:r>
      <w:r>
        <w:t xml:space="preserve">                                             </w:t>
      </w:r>
    </w:p>
    <w:p>
      <w:pPr>
        <w:adjustRightInd w:val="0"/>
        <w:snapToGrid w:val="0"/>
        <w:spacing w:before="120"/>
        <w:ind w:firstLine="560"/>
      </w:pPr>
    </w:p>
    <w:p>
      <w:pPr>
        <w:adjustRightInd w:val="0"/>
        <w:snapToGrid w:val="0"/>
        <w:spacing w:before="120"/>
        <w:ind w:firstLine="560"/>
      </w:pPr>
    </w:p>
    <w:p>
      <w:pPr>
        <w:adjustRightInd w:val="0"/>
        <w:snapToGrid w:val="0"/>
        <w:spacing w:before="120"/>
        <w:ind w:firstLine="560"/>
      </w:pPr>
    </w:p>
    <w:p>
      <w:pPr>
        <w:pStyle w:val="27"/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3" w:firstLineChars="39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 xml:space="preserve">  题    目：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</w:t>
      </w:r>
      <w:r>
        <w:rPr>
          <w:rFonts w:hint="eastAsia" w:ascii="Times New Roman" w:eastAsia="仿宋_GB2312"/>
          <w:bCs/>
          <w:sz w:val="32"/>
          <w:szCs w:val="32"/>
          <w:u w:val="single"/>
          <w:lang w:val="en-US" w:eastAsia="zh-CN"/>
        </w:rPr>
        <w:t>x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眼线液笔 </w:t>
      </w:r>
      <w:r>
        <w:rPr>
          <w:rFonts w:ascii="Times New Roman" w:eastAsia="仿宋_GB2312"/>
          <w:sz w:val="32"/>
          <w:szCs w:val="32"/>
          <w:u w:val="single"/>
        </w:rPr>
        <w:t>安全评估报告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7"/>
        <w:adjustRightInd w:val="0"/>
        <w:snapToGrid w:val="0"/>
        <w:spacing w:line="360" w:lineRule="auto"/>
        <w:ind w:right="-227" w:rightChars="-108" w:firstLine="281" w:firstLineChars="8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注册人/备案人名称：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xxxxxx         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7"/>
        <w:adjustRightInd w:val="0"/>
        <w:snapToGrid w:val="0"/>
        <w:spacing w:line="360" w:lineRule="auto"/>
        <w:ind w:left="248" w:leftChars="11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注册人/备案人地址：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 xxxxx             </w:t>
      </w:r>
    </w:p>
    <w:p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评估单位：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xxxxxxxxxxxxxxx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评 估 人：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eastAsia="仿宋_GB2312"/>
          <w:sz w:val="32"/>
          <w:szCs w:val="32"/>
          <w:u w:val="single"/>
        </w:rPr>
        <w:t>xx</w:t>
      </w:r>
      <w:r>
        <w:rPr>
          <w:rFonts w:ascii="Times New Roman" w:eastAsia="仿宋_GB2312"/>
          <w:sz w:val="32"/>
          <w:szCs w:val="32"/>
          <w:u w:val="single"/>
        </w:rPr>
        <w:t xml:space="preserve">        </w:t>
      </w:r>
    </w:p>
    <w:p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评估日期：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>xx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eastAsia="仿宋_GB2312"/>
          <w:sz w:val="32"/>
          <w:szCs w:val="32"/>
        </w:rPr>
        <w:t>日</w:t>
      </w:r>
    </w:p>
    <w:p>
      <w:pPr>
        <w:tabs>
          <w:tab w:val="left" w:pos="1140"/>
        </w:tabs>
        <w:adjustRightInd w:val="0"/>
        <w:snapToGrid w:val="0"/>
        <w:spacing w:after="160" w:line="360" w:lineRule="auto"/>
        <w:ind w:firstLine="1558" w:firstLineChars="48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tabs>
          <w:tab w:val="left" w:pos="1140"/>
        </w:tabs>
        <w:adjustRightInd w:val="0"/>
        <w:snapToGrid w:val="0"/>
        <w:spacing w:after="160" w:line="360" w:lineRule="auto"/>
        <w:ind w:firstLine="1022" w:firstLineChars="487"/>
        <w:rPr>
          <w:rFonts w:eastAsia="仿宋_GB2312"/>
          <w:kern w:val="0"/>
          <w:szCs w:val="21"/>
        </w:rPr>
      </w:pPr>
    </w:p>
    <w:p>
      <w:pPr>
        <w:spacing w:before="120" w:after="120" w:line="360" w:lineRule="auto"/>
        <w:jc w:val="center"/>
        <w:rPr>
          <w:szCs w:val="28"/>
          <w:u w:val="single"/>
        </w:rPr>
      </w:pPr>
      <w:r>
        <w:rPr>
          <w:rFonts w:hint="eastAsia" w:ascii="黑体" w:hAnsi="黑体" w:eastAsia="黑体"/>
          <w:sz w:val="32"/>
        </w:rPr>
        <w:t xml:space="preserve"> </w:t>
      </w:r>
      <w:r>
        <w:br w:type="page"/>
      </w:r>
    </w:p>
    <w:sdt>
      <w:sdtP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zh-CN"/>
        </w:rPr>
        <w:id w:val="-741713873"/>
        <w:docPartObj>
          <w:docPartGallery w:val="Table of Contents"/>
          <w:docPartUnique/>
        </w:docPartObj>
      </w:sdtPr>
      <w:sdtEndPr>
        <w:rPr>
          <w:rFonts w:hint="default" w:ascii="宋体" w:hAnsi="Times New Roman" w:eastAsia="宋体" w:cs="Times New Roman"/>
          <w:b w:val="0"/>
          <w:bCs w:val="0"/>
          <w:color w:val="auto"/>
          <w:kern w:val="0"/>
          <w:sz w:val="21"/>
          <w:szCs w:val="20"/>
          <w:lang w:val="en-US"/>
        </w:rPr>
      </w:sdtEndPr>
      <w:sdtContent>
        <w:p>
          <w:pPr>
            <w:pStyle w:val="36"/>
            <w:ind w:firstLine="422" w:firstLineChars="96"/>
            <w:jc w:val="center"/>
            <w:rPr>
              <w:rFonts w:ascii="方正小标宋简体" w:eastAsia="方正小标宋简体"/>
              <w:b w:val="0"/>
              <w:color w:val="auto"/>
              <w:sz w:val="44"/>
              <w:szCs w:val="44"/>
              <w:lang w:val="zh-CN"/>
            </w:rPr>
          </w:pPr>
          <w:r>
            <w:rPr>
              <w:rFonts w:hint="eastAsia" w:ascii="方正小标宋简体" w:eastAsia="方正小标宋简体"/>
              <w:b w:val="0"/>
              <w:color w:val="auto"/>
              <w:sz w:val="44"/>
              <w:szCs w:val="44"/>
              <w:lang w:val="zh-CN"/>
            </w:rPr>
            <w:t>目  录</w:t>
          </w:r>
        </w:p>
        <w:p>
          <w:pPr>
            <w:rPr>
              <w:lang w:val="zh-CN"/>
            </w:rPr>
          </w:pPr>
        </w:p>
        <w:p>
          <w:pPr>
            <w:pStyle w:val="8"/>
            <w:tabs>
              <w:tab w:val="right" w:leader="middleDot" w:pos="8834"/>
            </w:tabs>
            <w:rPr>
              <w:rFonts w:hint="eastAsia" w:eastAsia="方正小标宋简体"/>
              <w:sz w:val="32"/>
              <w:szCs w:val="32"/>
              <w:lang w:eastAsia="zh-CN"/>
            </w:rPr>
          </w:pP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TOC \o "1-1" \u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eastAsia="方正小标宋简体"/>
              <w:sz w:val="32"/>
              <w:szCs w:val="32"/>
            </w:rPr>
            <w:t>一、摘要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二、产品简介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三、产品配方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四、配方中各成分的安全评估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五、可能存在的风险物质的安全评估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六、风险控制措施或建议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七、安全评估结论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八、安全评估人员的签名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九、安全评估人员简历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十、参考文献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十一、附录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27"/>
            <w:tabs>
              <w:tab w:val="right" w:leader="middleDot" w:pos="8647"/>
            </w:tabs>
            <w:adjustRightInd w:val="0"/>
            <w:snapToGrid w:val="0"/>
            <w:spacing w:after="0" w:line="600" w:lineRule="exact"/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ascii="Times New Roman" w:eastAsia="方正小标宋简体"/>
              <w:sz w:val="32"/>
              <w:szCs w:val="32"/>
            </w:rPr>
            <w:fldChar w:fldCharType="end"/>
          </w:r>
        </w:p>
      </w:sdtContent>
    </w:sdt>
    <w:p>
      <w:pPr>
        <w:pStyle w:val="10"/>
        <w:spacing w:before="0" w:after="0" w:line="580" w:lineRule="exact"/>
        <w:ind w:firstLine="643" w:firstLineChars="200"/>
        <w:jc w:val="left"/>
        <w:rPr>
          <w:rFonts w:ascii="黑体" w:hAnsi="黑体" w:eastAsia="黑体"/>
          <w:b w:val="0"/>
        </w:rPr>
      </w:pPr>
      <w:bookmarkStart w:id="0" w:name="_Toc16405"/>
      <w:r>
        <w:br w:type="page"/>
      </w:r>
      <w:bookmarkEnd w:id="0"/>
      <w:bookmarkStart w:id="1" w:name="_Toc182477222"/>
      <w:r>
        <w:rPr>
          <w:rFonts w:ascii="黑体" w:hAnsi="黑体" w:eastAsia="黑体"/>
          <w:b w:val="0"/>
        </w:rPr>
        <w:t>一、摘要</w:t>
      </w:r>
      <w:bookmarkEnd w:id="1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xxx</w:t>
      </w:r>
      <w:r>
        <w:rPr>
          <w:rFonts w:hint="eastAsia" w:eastAsia="仿宋_GB2312"/>
          <w:sz w:val="32"/>
          <w:szCs w:val="28"/>
          <w:lang w:val="en-US" w:eastAsia="zh-CN"/>
        </w:rPr>
        <w:t>x</w:t>
      </w:r>
      <w:r>
        <w:rPr>
          <w:rFonts w:hint="eastAsia" w:eastAsia="仿宋_GB2312"/>
          <w:sz w:val="32"/>
          <w:szCs w:val="28"/>
        </w:rPr>
        <w:t>眼线液笔</w:t>
      </w:r>
      <w:r>
        <w:rPr>
          <w:rFonts w:eastAsia="仿宋_GB2312"/>
          <w:sz w:val="32"/>
          <w:szCs w:val="28"/>
        </w:rPr>
        <w:t>为</w:t>
      </w:r>
      <w:r>
        <w:rPr>
          <w:rFonts w:hint="eastAsia" w:eastAsia="仿宋_GB2312"/>
          <w:sz w:val="32"/>
          <w:szCs w:val="28"/>
        </w:rPr>
        <w:t>驻留</w:t>
      </w:r>
      <w:r>
        <w:rPr>
          <w:rFonts w:eastAsia="仿宋_GB2312"/>
          <w:sz w:val="32"/>
          <w:szCs w:val="28"/>
        </w:rPr>
        <w:t>类化妆品</w:t>
      </w:r>
      <w:r>
        <w:rPr>
          <w:rFonts w:hint="eastAsia" w:eastAsia="仿宋_GB2312"/>
          <w:sz w:val="32"/>
          <w:szCs w:val="28"/>
        </w:rPr>
        <w:t>，适用于眼部，可每日使用。</w:t>
      </w:r>
      <w:r>
        <w:rPr>
          <w:rFonts w:eastAsia="仿宋_GB2312"/>
          <w:sz w:val="32"/>
          <w:szCs w:val="28"/>
        </w:rPr>
        <w:t>依据《化妆品安全评估技术导则</w:t>
      </w:r>
      <w:r>
        <w:rPr>
          <w:rFonts w:hint="eastAsia" w:eastAsia="仿宋_GB2312"/>
          <w:sz w:val="32"/>
          <w:szCs w:val="28"/>
        </w:rPr>
        <w:t>》（2021年版）有关规定，</w:t>
      </w:r>
      <w:r>
        <w:rPr>
          <w:rFonts w:eastAsia="仿宋_GB2312"/>
          <w:sz w:val="32"/>
          <w:szCs w:val="28"/>
        </w:rPr>
        <w:t>对产品的微生物</w:t>
      </w:r>
      <w:r>
        <w:rPr>
          <w:rFonts w:hint="eastAsia" w:eastAsia="仿宋_GB2312"/>
          <w:sz w:val="32"/>
          <w:szCs w:val="28"/>
        </w:rPr>
        <w:t>和</w:t>
      </w:r>
      <w:r>
        <w:rPr>
          <w:rFonts w:eastAsia="仿宋_GB2312"/>
          <w:sz w:val="32"/>
          <w:szCs w:val="28"/>
        </w:rPr>
        <w:t>有害物质等进行了检测，并</w:t>
      </w:r>
      <w:r>
        <w:rPr>
          <w:rFonts w:hint="eastAsia" w:eastAsia="仿宋_GB2312"/>
          <w:sz w:val="32"/>
          <w:szCs w:val="28"/>
        </w:rPr>
        <w:t>对配方所用的水、CI 77266（纳米级）、丙二醇、聚乙烯吡咯烷酮、丙烯酸（酯）类/甲基丙烯酸二甲基氨乙酯共聚物、苯氧乙醇、硅酸铝镁、聚山梨醇酯-20、辛甘醇、C11-15 链烷醇聚醚-7、丁二醇、双丙甘醇、山梨酸钾和碘丙炔醇丁基氨甲酸酯等xx种成分进行评估，可能存在</w:t>
      </w:r>
      <w:r>
        <w:rPr>
          <w:rFonts w:eastAsia="仿宋_GB2312"/>
          <w:sz w:val="32"/>
          <w:szCs w:val="28"/>
        </w:rPr>
        <w:t>的</w:t>
      </w:r>
      <w:r>
        <w:rPr>
          <w:rFonts w:hint="eastAsia" w:eastAsia="仿宋_GB2312"/>
          <w:sz w:val="32"/>
          <w:szCs w:val="28"/>
        </w:rPr>
        <w:t>多环芳烃、二甘醇、二</w:t>
      </w:r>
      <w:r>
        <w:rPr>
          <w:rFonts w:hint="eastAsia" w:asciiTheme="minorEastAsia" w:hAnsiTheme="minorEastAsia" w:eastAsiaTheme="minorEastAsia"/>
          <w:sz w:val="32"/>
          <w:szCs w:val="28"/>
        </w:rPr>
        <w:t>噁</w:t>
      </w:r>
      <w:r>
        <w:rPr>
          <w:rFonts w:hint="eastAsia" w:eastAsia="仿宋_GB2312"/>
          <w:sz w:val="32"/>
          <w:szCs w:val="28"/>
        </w:rPr>
        <w:t>烷和苯酚</w:t>
      </w:r>
      <w:r>
        <w:rPr>
          <w:rFonts w:eastAsia="仿宋_GB2312"/>
          <w:sz w:val="32"/>
          <w:szCs w:val="28"/>
        </w:rPr>
        <w:t>等</w:t>
      </w:r>
      <w:r>
        <w:rPr>
          <w:rFonts w:hint="eastAsia" w:eastAsia="仿宋_GB2312"/>
          <w:sz w:val="32"/>
          <w:szCs w:val="28"/>
        </w:rPr>
        <w:t>xx</w:t>
      </w:r>
      <w:r>
        <w:rPr>
          <w:rFonts w:eastAsia="仿宋_GB2312"/>
          <w:sz w:val="32"/>
          <w:szCs w:val="28"/>
        </w:rPr>
        <w:t>种风险物质开展了安全评估。结果显示，该产品在正常、合理及可预见的使用情况下，不会对人体健康产生危害。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2" w:name="_Toc182477223"/>
      <w:r>
        <w:rPr>
          <w:rFonts w:ascii="黑体" w:hAnsi="黑体" w:eastAsia="黑体"/>
          <w:b w:val="0"/>
        </w:rPr>
        <w:t>二、产品简介</w:t>
      </w:r>
      <w:bookmarkEnd w:id="2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1、产品名称：</w:t>
      </w:r>
      <w:r>
        <w:rPr>
          <w:rFonts w:hint="eastAsia" w:eastAsia="仿宋_GB2312"/>
          <w:sz w:val="32"/>
          <w:szCs w:val="28"/>
        </w:rPr>
        <w:t>xxx</w:t>
      </w:r>
      <w:r>
        <w:rPr>
          <w:rFonts w:hint="eastAsia" w:eastAsia="仿宋_GB2312"/>
          <w:sz w:val="32"/>
          <w:szCs w:val="28"/>
          <w:lang w:val="en-US" w:eastAsia="zh-CN"/>
        </w:rPr>
        <w:t>x</w:t>
      </w:r>
      <w:r>
        <w:rPr>
          <w:rFonts w:hint="eastAsia" w:eastAsia="仿宋_GB2312"/>
          <w:sz w:val="32"/>
          <w:szCs w:val="28"/>
        </w:rPr>
        <w:t>眼线液笔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2、产品使用方法：</w:t>
      </w:r>
      <w:r>
        <w:rPr>
          <w:rFonts w:hint="eastAsia" w:eastAsia="仿宋_GB2312"/>
          <w:bCs/>
          <w:sz w:val="32"/>
          <w:szCs w:val="28"/>
        </w:rPr>
        <w:t>xxxxxxxx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3、使用人群</w:t>
      </w:r>
      <w:r>
        <w:rPr>
          <w:rFonts w:hint="eastAsia" w:eastAsia="仿宋_GB2312"/>
          <w:sz w:val="32"/>
          <w:szCs w:val="28"/>
        </w:rPr>
        <w:t>：普通人群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、日均使用量（g/day）：</w:t>
      </w:r>
      <w:r>
        <w:rPr>
          <w:rFonts w:hint="eastAsia" w:eastAsia="仿宋_GB2312"/>
          <w:sz w:val="32"/>
          <w:szCs w:val="28"/>
        </w:rPr>
        <w:t>0.005</w:t>
      </w:r>
      <w:r>
        <w:rPr>
          <w:rFonts w:eastAsia="仿宋_GB2312"/>
          <w:sz w:val="32"/>
          <w:szCs w:val="28"/>
        </w:rPr>
        <w:t>*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4、产品驻留因子：</w:t>
      </w:r>
      <w:r>
        <w:rPr>
          <w:rFonts w:hint="eastAsia" w:eastAsia="仿宋_GB2312"/>
          <w:sz w:val="32"/>
          <w:szCs w:val="28"/>
        </w:rPr>
        <w:t>1.0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5、暴露剂量（SED）=日均使用量×驻留因子×成分在配方中百分比×经皮吸收率÷体重</w:t>
      </w:r>
      <w:r>
        <w:rPr>
          <w:rFonts w:eastAsia="仿宋_GB2312"/>
          <w:sz w:val="32"/>
          <w:szCs w:val="28"/>
          <w:vertAlign w:val="superscript"/>
        </w:rPr>
        <w:t>#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注：</w:t>
      </w:r>
      <w:r>
        <w:rPr>
          <w:rFonts w:eastAsia="仿宋_GB2312"/>
          <w:sz w:val="32"/>
          <w:szCs w:val="28"/>
          <w:vertAlign w:val="superscript"/>
        </w:rPr>
        <w:t>*</w:t>
      </w:r>
      <w:r>
        <w:rPr>
          <w:rFonts w:eastAsia="仿宋_GB2312"/>
          <w:sz w:val="32"/>
          <w:szCs w:val="28"/>
        </w:rPr>
        <w:t>日均使用量参考《THE SCCS NOTES OF GUIDANCE FOR THE TESTING OF COSMETIC INGREDIENTS AND THEIR SAFETY EVALUATION （1</w:t>
      </w:r>
      <w:r>
        <w:rPr>
          <w:rFonts w:hint="eastAsia"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  <w:vertAlign w:val="superscript"/>
        </w:rPr>
        <w:t>TH</w:t>
      </w:r>
      <w:r>
        <w:rPr>
          <w:rFonts w:eastAsia="仿宋_GB2312"/>
          <w:sz w:val="32"/>
          <w:szCs w:val="28"/>
        </w:rPr>
        <w:t xml:space="preserve"> REVISION）》。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  <w:vertAlign w:val="superscript"/>
        </w:rPr>
        <w:t>#</w:t>
      </w:r>
      <w:r>
        <w:rPr>
          <w:rFonts w:eastAsia="仿宋_GB2312"/>
          <w:sz w:val="32"/>
          <w:szCs w:val="28"/>
        </w:rPr>
        <w:t xml:space="preserve"> 体重为默认的成人体重（60 kg）；经皮吸收率以100%计。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3" w:name="_Toc182477224"/>
      <w:r>
        <w:rPr>
          <w:rFonts w:ascii="黑体" w:hAnsi="黑体" w:eastAsia="黑体"/>
          <w:b w:val="0"/>
        </w:rPr>
        <w:t>三、产品配方</w:t>
      </w:r>
      <w:bookmarkEnd w:id="3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本配方中所使用的成分均已列入《已使用化妆品原料目录》或《化妆品安全技术规范》（2015年版），</w:t>
      </w:r>
      <w:r>
        <w:rPr>
          <w:rFonts w:hint="eastAsia" w:eastAsia="仿宋_GB2312"/>
          <w:sz w:val="32"/>
          <w:szCs w:val="28"/>
        </w:rPr>
        <w:t>产品</w:t>
      </w:r>
      <w:r>
        <w:rPr>
          <w:rFonts w:eastAsia="仿宋_GB2312"/>
          <w:sz w:val="32"/>
          <w:szCs w:val="28"/>
        </w:rPr>
        <w:t>配方表见表1，产品实际成分含量表见表2。</w:t>
      </w:r>
    </w:p>
    <w:p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表1  </w:t>
      </w:r>
      <w:r>
        <w:rPr>
          <w:rFonts w:hint="eastAsia" w:eastAsia="仿宋_GB2312"/>
          <w:b/>
          <w:bCs/>
          <w:sz w:val="28"/>
          <w:szCs w:val="28"/>
        </w:rPr>
        <w:t>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1"/>
        <w:tblW w:w="88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114"/>
        <w:gridCol w:w="2229"/>
        <w:gridCol w:w="1207"/>
        <w:gridCol w:w="1085"/>
        <w:gridCol w:w="16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在《已使用原料目录》中的序号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成膜剂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丙烯酸（酯）类/甲基丙烯酸二甲基氨乙酯共聚物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ACRYLATES/DIMETHYLAMINOETHYL METHACRYLATE COPOLYMER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01443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苯氧乙醇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PHENOXYETHANOL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01294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《化妆品安全技术规范》准用防腐剂（表4）序号37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C11-15 链烷醇聚醚-7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C11-15 PARETH-7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00099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辛甘醇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CAPRYLYL GLYCOL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07160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丁二醇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BUTYLENE GLYCOL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01946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山梨酸钾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POTASSIUM SORBATE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05911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《化妆品安全技术规范》准用防腐剂（表4）序号46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CI 77266（纳米级）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CI 77266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着色剂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00360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《化妆品安全技术规范》准用着色剂（表6）序号127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丙二醇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PROPYLENE GLYCOL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01383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聚乙烯吡咯烷酮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PVP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成膜剂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04043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苯氧乙醇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PHENOXYETHANOL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防腐剂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01294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《化妆品安全技术规范》准用防腐剂（表4）序号37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辛甘醇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CAPRYLYL GLYCOL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07160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硅酸铝镁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MAGNESIUM ALUMINUM SILICATE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增稠剂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02655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聚山梨醇酯-20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POLYSORBATE 20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增溶剂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03978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双丙甘醇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DIPROPYLENE GLYCOL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防腐剂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06223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碘丙炔醇丁基氨甲酸酯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IODOPROPYNYL BUTYLCARBAMATE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01929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《化妆品安全技术规范》准用防腐剂（表4）序号30</w:t>
            </w:r>
          </w:p>
        </w:tc>
      </w:tr>
    </w:tbl>
    <w:p>
      <w:pPr>
        <w:pStyle w:val="32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表2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tbl>
      <w:tblPr>
        <w:tblStyle w:val="11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3550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Header/>
          <w:jc w:val="center"/>
        </w:trPr>
        <w:tc>
          <w:tcPr>
            <w:tcW w:w="2982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标准中文名称</w:t>
            </w:r>
          </w:p>
        </w:tc>
        <w:tc>
          <w:tcPr>
            <w:tcW w:w="3550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INCI名</w:t>
            </w:r>
          </w:p>
        </w:tc>
        <w:tc>
          <w:tcPr>
            <w:tcW w:w="2358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实际成分含量（%）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WATER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CI 77266</w:t>
            </w:r>
            <w:r>
              <w:rPr>
                <w:rFonts w:hint="eastAsia" w:eastAsia="仿宋_GB2312"/>
                <w:sz w:val="24"/>
                <w:szCs w:val="21"/>
              </w:rPr>
              <w:t>（纳米级）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CI 77266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丙二醇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PROPYLENE GLYCOL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丙烯酸（酯）类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丙烯酸乙基己酯共聚物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ACRYLATES/ETHYLHEXYL ACRYLATE COPOLYMER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聚乙烯吡咯烷酮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PVP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苯氧乙醇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PHENOXYETHANOL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硅酸铝镁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MAGNESIUM ALUMINUM SILICATE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聚山梨醇酯</w:t>
            </w:r>
            <w:r>
              <w:rPr>
                <w:rFonts w:eastAsia="仿宋_GB2312"/>
                <w:sz w:val="24"/>
              </w:rPr>
              <w:t>-20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POLYSORBATE 20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辛甘醇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CAPRYLYL GLYCOL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C11-15 </w:t>
            </w:r>
            <w:r>
              <w:rPr>
                <w:rFonts w:hint="eastAsia" w:eastAsia="仿宋_GB2312"/>
                <w:sz w:val="24"/>
              </w:rPr>
              <w:t>链烷醇聚醚</w:t>
            </w:r>
            <w:r>
              <w:rPr>
                <w:rFonts w:eastAsia="仿宋_GB2312"/>
                <w:sz w:val="24"/>
              </w:rPr>
              <w:t>-7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C11-15 PARETH-7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丁二醇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BUTYLENE GLYCOL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双丙甘醇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DIPROPYLENE GLYCOL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山梨酸钾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POTASSIUM SORBATE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碘丙炔醇丁基氨甲酸酯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IODOPROPYNYL BUTYLCARBAMATE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</w:p>
    <w:p>
      <w:pPr>
        <w:pStyle w:val="10"/>
        <w:spacing w:before="159" w:beforeLines="5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4" w:name="_Toc182477225"/>
      <w:r>
        <w:rPr>
          <w:rFonts w:ascii="黑体" w:hAnsi="黑体" w:eastAsia="黑体"/>
          <w:b w:val="0"/>
        </w:rPr>
        <w:t>四、配方中各成分的安全评估</w:t>
      </w:r>
      <w:bookmarkEnd w:id="4"/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1号成分：</w:t>
      </w: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2号成分：</w:t>
      </w:r>
      <w:r>
        <w:rPr>
          <w:rFonts w:eastAsia="仿宋_GB2312"/>
          <w:sz w:val="32"/>
          <w:szCs w:val="28"/>
        </w:rPr>
        <w:t>CI 77266</w:t>
      </w:r>
      <w:r>
        <w:rPr>
          <w:rFonts w:hint="eastAsia" w:eastAsia="仿宋_GB2312"/>
          <w:sz w:val="32"/>
          <w:szCs w:val="28"/>
        </w:rPr>
        <w:t xml:space="preserve">（纳米级），《化妆品安全技术规范》表6化妆品准用着色剂规定，CI </w:t>
      </w:r>
      <w:r>
        <w:rPr>
          <w:rFonts w:eastAsia="仿宋_GB2312"/>
          <w:sz w:val="32"/>
          <w:szCs w:val="28"/>
        </w:rPr>
        <w:t>77266</w:t>
      </w:r>
      <w:r>
        <w:rPr>
          <w:rFonts w:hint="eastAsia" w:eastAsia="仿宋_GB2312"/>
          <w:sz w:val="32"/>
          <w:szCs w:val="28"/>
        </w:rPr>
        <w:t>允许在各种化妆品中使用，无限量要求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。2015年欧盟消费者安全科学委员会（SCCS）发布对</w:t>
      </w:r>
      <w:r>
        <w:rPr>
          <w:rFonts w:eastAsia="仿宋_GB2312"/>
          <w:sz w:val="32"/>
          <w:szCs w:val="28"/>
        </w:rPr>
        <w:t>CI 77266</w:t>
      </w:r>
      <w:r>
        <w:rPr>
          <w:rFonts w:hint="eastAsia" w:eastAsia="仿宋_GB2312"/>
          <w:sz w:val="32"/>
          <w:szCs w:val="28"/>
        </w:rPr>
        <w:t>（纳米级）的评估报告，认为符合法规要求的</w:t>
      </w:r>
      <w:r>
        <w:rPr>
          <w:rFonts w:eastAsia="仿宋_GB2312"/>
          <w:sz w:val="32"/>
          <w:szCs w:val="28"/>
        </w:rPr>
        <w:t>CI 77266</w:t>
      </w:r>
      <w:r>
        <w:rPr>
          <w:rFonts w:hint="eastAsia" w:eastAsia="仿宋_GB2312"/>
          <w:sz w:val="32"/>
          <w:szCs w:val="28"/>
        </w:rPr>
        <w:t>（纳米级）最高添加量为10%时，在无吸入暴露风险的化妆品中作为着色剂使用是安全的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4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。根据原料供应商提供的证明（见附录</w:t>
      </w:r>
      <w:r>
        <w:rPr>
          <w:rFonts w:hint="eastAsia" w:eastAsia="仿宋_GB2312"/>
          <w:sz w:val="32"/>
          <w:szCs w:val="28"/>
          <w:lang w:val="en-US" w:eastAsia="zh-CN"/>
        </w:rPr>
        <w:t>1</w:t>
      </w:r>
      <w:r>
        <w:rPr>
          <w:rFonts w:hint="eastAsia" w:eastAsia="仿宋_GB2312"/>
          <w:sz w:val="32"/>
          <w:szCs w:val="28"/>
        </w:rPr>
        <w:t>），该原料符合欧盟化妆品法规(EU) No 1223/2009中所列化妆品成分的相关要求，纯度为97.8%-98%，粒径&gt;20 nm（中位数=75nm），杂质及其含量均满足欧盟法规对</w:t>
      </w:r>
      <w:r>
        <w:rPr>
          <w:rFonts w:eastAsia="仿宋_GB2312"/>
          <w:sz w:val="32"/>
          <w:szCs w:val="28"/>
        </w:rPr>
        <w:t>CI 77266</w:t>
      </w:r>
      <w:r>
        <w:rPr>
          <w:rFonts w:hint="eastAsia" w:eastAsia="仿宋_GB2312"/>
          <w:sz w:val="32"/>
          <w:szCs w:val="28"/>
        </w:rPr>
        <w:t>（纳米级）的规定。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成分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</w:t>
      </w:r>
      <w:r>
        <w:rPr>
          <w:rFonts w:hint="eastAsia" w:eastAsia="仿宋_GB2312"/>
          <w:sz w:val="32"/>
          <w:szCs w:val="28"/>
        </w:rPr>
        <w:t>，且本产品为眼线液笔，无吸入暴露风险。该成分</w:t>
      </w:r>
      <w:r>
        <w:rPr>
          <w:rFonts w:eastAsia="仿宋_GB2312"/>
          <w:sz w:val="32"/>
          <w:szCs w:val="28"/>
        </w:rPr>
        <w:t>在本产品中应用风险在可接受范围之内</w:t>
      </w:r>
      <w:r>
        <w:rPr>
          <w:rFonts w:hint="eastAsia" w:eastAsia="仿宋_GB2312"/>
          <w:sz w:val="32"/>
          <w:szCs w:val="28"/>
        </w:rPr>
        <w:t>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3号成分：</w:t>
      </w:r>
      <w:r>
        <w:rPr>
          <w:rFonts w:hint="eastAsia" w:eastAsia="仿宋_GB2312"/>
          <w:sz w:val="32"/>
          <w:szCs w:val="28"/>
        </w:rPr>
        <w:t>丙二醇，2012年</w:t>
      </w:r>
      <w:r>
        <w:rPr>
          <w:rFonts w:eastAsia="仿宋_GB2312"/>
          <w:sz w:val="32"/>
          <w:szCs w:val="28"/>
        </w:rPr>
        <w:t>美国化妆品原料评价委员会（CIR）</w:t>
      </w:r>
      <w:r>
        <w:rPr>
          <w:rFonts w:hint="eastAsia" w:eastAsia="仿宋_GB2312"/>
          <w:sz w:val="32"/>
          <w:szCs w:val="28"/>
        </w:rPr>
        <w:t>发布对丙二醇的安全性审查，认为当配方无刺激性时，该成分作为化妆品原料使用是安全的，在眼线膏（Eyeliners）产品中的使用浓度为</w:t>
      </w:r>
      <w:r>
        <w:rPr>
          <w:rFonts w:eastAsia="仿宋_GB2312"/>
          <w:sz w:val="32"/>
          <w:szCs w:val="28"/>
        </w:rPr>
        <w:t>0.</w:t>
      </w:r>
      <w:r>
        <w:rPr>
          <w:rFonts w:hint="eastAsia" w:eastAsia="仿宋_GB2312"/>
          <w:sz w:val="32"/>
          <w:szCs w:val="28"/>
        </w:rPr>
        <w:t>2%-16%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5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。本产品的皮肤刺激性和眼刺激性试验结果为无刺激性，本产品对人无刺激性风险，详见化妆品备案检验报告。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成分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4号成分：</w:t>
      </w:r>
      <w:r>
        <w:rPr>
          <w:rFonts w:hint="eastAsia" w:eastAsia="仿宋_GB2312"/>
          <w:sz w:val="32"/>
          <w:szCs w:val="28"/>
        </w:rPr>
        <w:t>丙烯酸（酯）类/丙烯酸乙基己酯共聚物，2018年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发布对丙烯酸（酯）类/丙烯酸乙基己酯共聚物的安全性审查，认为当配方无刺激性时，该成分作为化妆品原料使用是安全的，在驻留类（</w:t>
      </w:r>
      <w:r>
        <w:rPr>
          <w:rFonts w:eastAsia="仿宋_GB2312"/>
          <w:sz w:val="32"/>
          <w:szCs w:val="28"/>
        </w:rPr>
        <w:t>Leave-On</w:t>
      </w:r>
      <w:r>
        <w:rPr>
          <w:rFonts w:hint="eastAsia" w:eastAsia="仿宋_GB2312"/>
          <w:sz w:val="32"/>
          <w:szCs w:val="28"/>
        </w:rPr>
        <w:t>）和眼部使用（</w:t>
      </w:r>
      <w:r>
        <w:rPr>
          <w:rFonts w:eastAsia="仿宋_GB2312"/>
          <w:sz w:val="32"/>
          <w:szCs w:val="28"/>
        </w:rPr>
        <w:t>Eye Area</w:t>
      </w:r>
      <w:r>
        <w:rPr>
          <w:rFonts w:hint="eastAsia" w:eastAsia="仿宋_GB2312"/>
          <w:sz w:val="32"/>
          <w:szCs w:val="28"/>
        </w:rPr>
        <w:t>）产品中的使用浓度为</w:t>
      </w:r>
      <w:r>
        <w:rPr>
          <w:rFonts w:eastAsia="仿宋_GB2312"/>
          <w:sz w:val="32"/>
          <w:szCs w:val="28"/>
        </w:rPr>
        <w:t>0.</w:t>
      </w:r>
      <w:r>
        <w:rPr>
          <w:rFonts w:hint="eastAsia" w:eastAsia="仿宋_GB2312"/>
          <w:sz w:val="32"/>
          <w:szCs w:val="28"/>
        </w:rPr>
        <w:t>23%-30%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6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。本产品的皮肤刺激性和眼刺激性试验结果为无刺激性，本产品对人无刺激性风险，详见化妆品备案检验报告。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成分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5号成分：</w:t>
      </w:r>
      <w:r>
        <w:rPr>
          <w:rFonts w:hint="eastAsia" w:eastAsia="仿宋_GB2312"/>
          <w:sz w:val="32"/>
          <w:szCs w:val="28"/>
        </w:rPr>
        <w:t>聚乙烯吡咯烷酮，2018年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发布对聚乙烯吡咯烷酮的安全性审查，认为该成分作为化妆品原料使用是安全的，在驻留类产品中的使用浓度为</w:t>
      </w:r>
      <w:r>
        <w:rPr>
          <w:rFonts w:eastAsia="仿宋_GB2312"/>
          <w:sz w:val="32"/>
          <w:szCs w:val="28"/>
        </w:rPr>
        <w:t>0.</w:t>
      </w:r>
      <w:r>
        <w:rPr>
          <w:rFonts w:hint="eastAsia" w:eastAsia="仿宋_GB2312"/>
          <w:sz w:val="32"/>
          <w:szCs w:val="28"/>
        </w:rPr>
        <w:t>05%-35%，在眼部使用产品中的使用浓度为</w:t>
      </w:r>
      <w:r>
        <w:rPr>
          <w:rFonts w:eastAsia="仿宋_GB2312"/>
          <w:sz w:val="32"/>
          <w:szCs w:val="28"/>
        </w:rPr>
        <w:t>0.</w:t>
      </w:r>
      <w:r>
        <w:rPr>
          <w:rFonts w:hint="eastAsia" w:eastAsia="仿宋_GB2312"/>
          <w:sz w:val="32"/>
          <w:szCs w:val="28"/>
        </w:rPr>
        <w:t>005%-12%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7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成分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6号成分：</w:t>
      </w:r>
      <w:r>
        <w:rPr>
          <w:rFonts w:hint="eastAsia" w:eastAsia="仿宋_GB2312"/>
          <w:sz w:val="32"/>
          <w:szCs w:val="28"/>
        </w:rPr>
        <w:t>苯氧乙醇，</w:t>
      </w:r>
      <w:r>
        <w:rPr>
          <w:rFonts w:hint="eastAsia" w:eastAsia="仿宋_GB2312"/>
          <w:bCs/>
          <w:sz w:val="32"/>
          <w:szCs w:val="28"/>
        </w:rPr>
        <w:t>《化妆品安全技术规范（2015年版）》表4化妆品准用防腐剂规定，苯氧乙醇的限用量为1.0%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1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成分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</w:t>
      </w:r>
      <w:r>
        <w:rPr>
          <w:rFonts w:hint="eastAsia" w:eastAsia="仿宋_GB2312"/>
          <w:bCs/>
          <w:sz w:val="32"/>
          <w:szCs w:val="28"/>
        </w:rPr>
        <w:t>符合要求。该</w:t>
      </w:r>
      <w:r>
        <w:rPr>
          <w:rFonts w:hint="eastAsia" w:eastAsia="仿宋_GB2312"/>
          <w:sz w:val="32"/>
          <w:szCs w:val="28"/>
        </w:rPr>
        <w:t>成分</w:t>
      </w:r>
      <w:r>
        <w:rPr>
          <w:rFonts w:eastAsia="仿宋_GB2312"/>
          <w:sz w:val="32"/>
          <w:szCs w:val="28"/>
        </w:rPr>
        <w:t>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7号成分：</w:t>
      </w:r>
      <w:r>
        <w:rPr>
          <w:rFonts w:hint="eastAsia" w:eastAsia="仿宋_GB2312"/>
          <w:sz w:val="32"/>
          <w:szCs w:val="28"/>
        </w:rPr>
        <w:t>硅酸铝镁，2021年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发布对硅酸铝镁的安全性审查，认为当配方无刺激性时，该成分作为化妆品原料使用是安全的，在驻留类产品中的使用浓度为</w:t>
      </w:r>
      <w:r>
        <w:rPr>
          <w:rFonts w:eastAsia="仿宋_GB2312"/>
          <w:sz w:val="32"/>
          <w:szCs w:val="28"/>
        </w:rPr>
        <w:t>0.</w:t>
      </w:r>
      <w:r>
        <w:rPr>
          <w:rFonts w:hint="eastAsia" w:eastAsia="仿宋_GB2312"/>
          <w:sz w:val="32"/>
          <w:szCs w:val="28"/>
        </w:rPr>
        <w:t>0004%-11%，在眼部使用产品中的使用浓度为</w:t>
      </w:r>
      <w:r>
        <w:rPr>
          <w:rFonts w:eastAsia="仿宋_GB2312"/>
          <w:sz w:val="32"/>
          <w:szCs w:val="28"/>
        </w:rPr>
        <w:t>0.</w:t>
      </w:r>
      <w:r>
        <w:rPr>
          <w:rFonts w:hint="eastAsia" w:eastAsia="仿宋_GB2312"/>
          <w:sz w:val="32"/>
          <w:szCs w:val="28"/>
        </w:rPr>
        <w:t>0025%-4.5%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8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。本产品的皮肤刺激性和眼刺激性试验结果为无刺激性，本产品对人无刺激性风险，详见化妆品备案检验报告。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成分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8号成分：</w:t>
      </w:r>
      <w:r>
        <w:rPr>
          <w:rFonts w:hint="eastAsia" w:eastAsia="仿宋_GB2312"/>
          <w:sz w:val="32"/>
          <w:szCs w:val="28"/>
        </w:rPr>
        <w:t>聚山梨醇酯-20，2015年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发布对聚山梨醇酯-20的安全性审查，认为当配方无刺激性时，该成分作为化妆品原料使用是安全的，在驻留类产品中的使用浓度为</w:t>
      </w:r>
      <w:r>
        <w:rPr>
          <w:rFonts w:eastAsia="仿宋_GB2312"/>
          <w:sz w:val="32"/>
          <w:szCs w:val="28"/>
        </w:rPr>
        <w:t>0.00001</w:t>
      </w:r>
      <w:r>
        <w:rPr>
          <w:rFonts w:hint="eastAsia" w:eastAsia="仿宋_GB2312"/>
          <w:sz w:val="32"/>
          <w:szCs w:val="28"/>
        </w:rPr>
        <w:t>%- 9.1%，在眼部使用产品中的使用浓度为</w:t>
      </w:r>
      <w:r>
        <w:rPr>
          <w:rFonts w:eastAsia="仿宋_GB2312"/>
          <w:sz w:val="32"/>
          <w:szCs w:val="28"/>
        </w:rPr>
        <w:t>0.00015</w:t>
      </w:r>
      <w:r>
        <w:rPr>
          <w:rFonts w:hint="eastAsia" w:eastAsia="仿宋_GB2312"/>
          <w:sz w:val="32"/>
          <w:szCs w:val="28"/>
        </w:rPr>
        <w:t>%-3.5%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9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。本产品的皮肤刺激性和眼刺激性试验结果为无刺激性，本产品对人无刺激性风险，详见化妆品备案检验报告。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成分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9号成分：</w:t>
      </w:r>
      <w:r>
        <w:rPr>
          <w:rFonts w:hint="eastAsia" w:eastAsia="仿宋_GB2312"/>
          <w:sz w:val="32"/>
          <w:szCs w:val="28"/>
        </w:rPr>
        <w:t>辛甘醇，2012年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发布对辛甘醇的安全性审查，认为该成分作为化妆品原料使用是安全的，在驻留类产品中的使用浓度为</w:t>
      </w:r>
      <w:r>
        <w:rPr>
          <w:rFonts w:eastAsia="仿宋_GB2312"/>
          <w:sz w:val="32"/>
          <w:szCs w:val="28"/>
        </w:rPr>
        <w:t>0.00003</w:t>
      </w:r>
      <w:r>
        <w:rPr>
          <w:rFonts w:hint="eastAsia" w:eastAsia="仿宋_GB2312"/>
          <w:sz w:val="32"/>
          <w:szCs w:val="28"/>
        </w:rPr>
        <w:t>%-5%，在眼部使用产品中的使用浓度为</w:t>
      </w:r>
      <w:r>
        <w:rPr>
          <w:rFonts w:eastAsia="仿宋_GB2312"/>
          <w:sz w:val="32"/>
          <w:szCs w:val="28"/>
        </w:rPr>
        <w:t>0.</w:t>
      </w:r>
      <w:r>
        <w:rPr>
          <w:rFonts w:hint="eastAsia" w:eastAsia="仿宋_GB2312"/>
          <w:sz w:val="32"/>
          <w:szCs w:val="28"/>
        </w:rPr>
        <w:t>3%-5%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10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成分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10号成分：</w:t>
      </w:r>
      <w:r>
        <w:rPr>
          <w:rFonts w:hint="eastAsia" w:eastAsia="仿宋_GB2312"/>
          <w:sz w:val="32"/>
          <w:szCs w:val="28"/>
        </w:rPr>
        <w:t>C11-15 链烷醇聚醚-7，2012年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发布对C11-15 链烷醇聚醚-7的安全性审查，认为当配方无刺激性时，该成分作为化妆品原料使用是安全的，在驻留类产品中的使用浓度为</w:t>
      </w:r>
      <w:r>
        <w:rPr>
          <w:rFonts w:eastAsia="仿宋_GB2312"/>
          <w:sz w:val="32"/>
          <w:szCs w:val="28"/>
        </w:rPr>
        <w:t>0.00</w:t>
      </w:r>
      <w:r>
        <w:rPr>
          <w:rFonts w:hint="eastAsia" w:eastAsia="仿宋_GB2312"/>
          <w:sz w:val="32"/>
          <w:szCs w:val="28"/>
        </w:rPr>
        <w:t>8%-1%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11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。本产品的皮肤刺激性和眼刺激性试验结果为无刺激性，本产品对人无刺激性风险，详见化妆品备案检验报告。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成分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11号成分：</w:t>
      </w:r>
      <w:r>
        <w:rPr>
          <w:rFonts w:hint="eastAsia" w:eastAsia="仿宋_GB2312"/>
          <w:sz w:val="32"/>
          <w:szCs w:val="28"/>
        </w:rPr>
        <w:t>丁二醇，2006年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发布对丁二醇的安全性审查，认为该成分作为化妆品原料使用是安全的，在眼线膏产品中的使用浓度为3%-12%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12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成分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12号成分：</w:t>
      </w:r>
      <w:r>
        <w:rPr>
          <w:rFonts w:hint="eastAsia" w:eastAsia="仿宋_GB2312"/>
          <w:sz w:val="32"/>
          <w:szCs w:val="28"/>
        </w:rPr>
        <w:t>双丙甘醇，2006年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发布对双丙甘醇的安全性审查，认为该成分作为化妆品原料使用是安全的，在眼部产品眼霜（</w:t>
      </w:r>
      <w:r>
        <w:rPr>
          <w:rFonts w:eastAsia="仿宋_GB2312"/>
          <w:sz w:val="32"/>
          <w:szCs w:val="28"/>
        </w:rPr>
        <w:t>Eye lotions</w:t>
      </w:r>
      <w:r>
        <w:rPr>
          <w:rFonts w:hint="eastAsia" w:eastAsia="仿宋_GB2312"/>
          <w:sz w:val="32"/>
          <w:szCs w:val="28"/>
        </w:rPr>
        <w:t>）中的使用浓度为0.1%-4%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12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成分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13号成分：</w:t>
      </w:r>
      <w:r>
        <w:rPr>
          <w:rFonts w:hint="eastAsia" w:eastAsia="仿宋_GB2312"/>
          <w:sz w:val="32"/>
          <w:szCs w:val="28"/>
        </w:rPr>
        <w:t>山梨酸钾，</w:t>
      </w:r>
      <w:r>
        <w:rPr>
          <w:rFonts w:hint="eastAsia" w:eastAsia="仿宋_GB2312"/>
          <w:bCs/>
          <w:sz w:val="32"/>
          <w:szCs w:val="28"/>
        </w:rPr>
        <w:t>《化妆品安全技术规范（2015年版）》表4化妆品准用防腐剂规定，山梨酸及其盐类的限用量为总量0.6%（以酸计）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1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成分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xxx%</w:t>
      </w:r>
      <w:r>
        <w:rPr>
          <w:rFonts w:eastAsia="仿宋_GB2312"/>
          <w:sz w:val="32"/>
          <w:szCs w:val="28"/>
        </w:rPr>
        <w:t>，</w:t>
      </w:r>
      <w:r>
        <w:rPr>
          <w:rFonts w:hint="eastAsia" w:eastAsia="仿宋_GB2312"/>
          <w:bCs/>
          <w:sz w:val="32"/>
          <w:szCs w:val="28"/>
        </w:rPr>
        <w:t>符合要求。该</w:t>
      </w:r>
      <w:r>
        <w:rPr>
          <w:rFonts w:hint="eastAsia" w:eastAsia="仿宋_GB2312"/>
          <w:sz w:val="32"/>
          <w:szCs w:val="28"/>
        </w:rPr>
        <w:t>成分</w:t>
      </w:r>
      <w:r>
        <w:rPr>
          <w:rFonts w:eastAsia="仿宋_GB2312"/>
          <w:sz w:val="32"/>
          <w:szCs w:val="28"/>
        </w:rPr>
        <w:t>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14号成分：</w:t>
      </w:r>
      <w:r>
        <w:rPr>
          <w:rFonts w:hint="eastAsia" w:eastAsia="仿宋_GB2312"/>
          <w:sz w:val="32"/>
          <w:szCs w:val="28"/>
        </w:rPr>
        <w:t>碘丙炔醇丁基氨甲酸酯，</w:t>
      </w:r>
      <w:r>
        <w:rPr>
          <w:rFonts w:hint="eastAsia" w:eastAsia="仿宋_GB2312"/>
          <w:bCs/>
          <w:sz w:val="32"/>
          <w:szCs w:val="28"/>
        </w:rPr>
        <w:t>《化妆品安全技术规范（2015年版）》表4化妆品准用防腐剂规定，碘丙炔醇丁基氨甲酸酯在驻留类产品中的限用量为0.01%，不得用于三岁以下儿童使用的产品中，禁用于唇部用品，禁用于体霜和体乳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1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成分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xxx%</w:t>
      </w:r>
      <w:r>
        <w:rPr>
          <w:rFonts w:eastAsia="仿宋_GB2312"/>
          <w:sz w:val="32"/>
          <w:szCs w:val="28"/>
        </w:rPr>
        <w:t>，</w:t>
      </w:r>
      <w:r>
        <w:rPr>
          <w:rFonts w:hint="eastAsia" w:eastAsia="仿宋_GB2312"/>
          <w:sz w:val="32"/>
          <w:szCs w:val="28"/>
        </w:rPr>
        <w:t>且本产品为眼线液笔，</w:t>
      </w:r>
      <w:r>
        <w:rPr>
          <w:rFonts w:hint="eastAsia" w:eastAsia="仿宋_GB2312"/>
          <w:bCs/>
          <w:sz w:val="32"/>
          <w:szCs w:val="28"/>
        </w:rPr>
        <w:t>符合要求。该</w:t>
      </w:r>
      <w:r>
        <w:rPr>
          <w:rFonts w:hint="eastAsia" w:eastAsia="仿宋_GB2312"/>
          <w:sz w:val="32"/>
          <w:szCs w:val="28"/>
        </w:rPr>
        <w:t>成分</w:t>
      </w:r>
      <w:r>
        <w:rPr>
          <w:rFonts w:eastAsia="仿宋_GB2312"/>
          <w:sz w:val="32"/>
          <w:szCs w:val="28"/>
        </w:rPr>
        <w:t>在本产品中应用风险在可接受范围之内。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5" w:name="_Toc182477226"/>
      <w:r>
        <w:rPr>
          <w:rFonts w:ascii="黑体" w:hAnsi="黑体" w:eastAsia="黑体"/>
          <w:b w:val="0"/>
        </w:rPr>
        <w:t>五、可能存在的风险物质的安全评估</w:t>
      </w:r>
      <w:bookmarkEnd w:id="5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本产品按照《化妆品安全评估技术导则》</w:t>
      </w:r>
      <w:r>
        <w:rPr>
          <w:rFonts w:hint="eastAsia" w:eastAsia="仿宋_GB2312"/>
          <w:sz w:val="32"/>
          <w:szCs w:val="28"/>
          <w:lang w:val="en-US" w:eastAsia="zh-CN"/>
        </w:rPr>
        <w:t>和《化妆品风险物质识别与评估技术指导原则》</w:t>
      </w:r>
      <w:r>
        <w:rPr>
          <w:rFonts w:eastAsia="仿宋_GB2312"/>
          <w:sz w:val="32"/>
          <w:szCs w:val="28"/>
        </w:rPr>
        <w:t>的要求，基于当前科学认知水平，对可能由化妆品原料带入、生产过程中产生或带入的风险物质进行评估，结果表明：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本产品的生产符合国家相关法律法规，对生产过程和产品包装材料进行严格的管理和控制。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产品中可能存在的安全性风险物质是技术上无法避免、由原料带入的杂质。残留的微量杂质在正常合理使用条件下不会对人体健康造成危害。产品安全性风险物质危害识别表见表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。</w:t>
      </w:r>
    </w:p>
    <w:p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化妆品</w:t>
      </w:r>
      <w:r>
        <w:rPr>
          <w:rFonts w:eastAsia="仿宋_GB2312"/>
          <w:b/>
          <w:bCs/>
          <w:sz w:val="28"/>
          <w:szCs w:val="28"/>
        </w:rPr>
        <w:t>中安全性风险物质危害识别表</w:t>
      </w:r>
    </w:p>
    <w:tbl>
      <w:tblPr>
        <w:tblStyle w:val="11"/>
        <w:tblW w:w="8895" w:type="dxa"/>
        <w:jc w:val="center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1428"/>
        <w:gridCol w:w="4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275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标准中文名称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可能含有的风险物质</w:t>
            </w:r>
          </w:p>
        </w:tc>
        <w:tc>
          <w:tcPr>
            <w:tcW w:w="471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CI 77266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（纳米级）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多环芳烃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根据原料供应商提供的资料，本原料中多环芳烃符合《化妆品安全技术规范》（2015版）对CI 77266的要求。见附录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丙二醇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13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时，其在化妆品中的存在是安全的。本产品中二甘醇的浓度为15.5 mg/kg（即0.00155%），不具有安全性风险，</w:t>
            </w:r>
            <w:r>
              <w:rPr>
                <w:rFonts w:eastAsia="仿宋_GB2312"/>
                <w:kern w:val="0"/>
                <w:sz w:val="24"/>
                <w:szCs w:val="21"/>
              </w:rPr>
              <w:t>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聚乙烯吡咯烷酮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丙烯酸（酯）类</w:t>
            </w: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甲基丙烯酸二甲基氨乙酯共聚物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苯氧乙醇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烷和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苯酚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烷：化妆品终产品中二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烷的残留浓度应符合《化妆品安全技术规范》（2015版）第一章&lt;概述&gt;中表2“化妆品中有害物质限值”的要求，即二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烷的残留浓度应小于30mg/kg。本产品中二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烷的残留浓度＜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 xml:space="preserve"> mg/kg，符合该要求，见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化妆品备案检验报告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苯酚：根据日本化妆品标准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14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允许使用的防腐剂中，苯酚在化妆品中的限量为</w:t>
            </w:r>
            <w:r>
              <w:rPr>
                <w:rFonts w:eastAsia="仿宋_GB2312"/>
                <w:kern w:val="0"/>
                <w:sz w:val="24"/>
                <w:szCs w:val="21"/>
              </w:rPr>
              <w:t>0.1g/100g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（</w:t>
            </w:r>
            <w:r>
              <w:rPr>
                <w:rFonts w:eastAsia="仿宋_GB2312"/>
                <w:kern w:val="0"/>
                <w:sz w:val="24"/>
                <w:szCs w:val="21"/>
              </w:rPr>
              <w:t>1000 μg/g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 xml:space="preserve">）。本产品中苯酚的浓度为2.4 </w:t>
            </w:r>
            <w:r>
              <w:rPr>
                <w:rFonts w:eastAsia="仿宋_GB2312"/>
                <w:kern w:val="0"/>
                <w:sz w:val="24"/>
                <w:szCs w:val="21"/>
              </w:rPr>
              <w:t>μg/g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，不具有安全性风险，不会对人体健康造成潜在的危害。检测报告见附录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硅酸铝镁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聚山梨醇酯</w:t>
            </w:r>
            <w:r>
              <w:rPr>
                <w:rFonts w:eastAsia="仿宋_GB2312"/>
                <w:kern w:val="0"/>
                <w:sz w:val="24"/>
                <w:szCs w:val="21"/>
              </w:rPr>
              <w:t>-20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烷和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烷：化妆品终产品中二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烷的残留浓度应符合《化妆品安全技术规范》（2015版）第一章&lt;概述&gt;中表2“化妆品中有害物质限值”的要求，即二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烷的残留浓度应小于30mg/kg。本产品中二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烷的残留浓度＜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 xml:space="preserve"> mg/kg，符合该要求，见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化妆品备案检验报告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二甘醇：欧洲消费者安全科学委员（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13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时，其在化妆品中的存在是安全的。本产品中二甘醇的浓度为15.5 mg/kg（即0.00155%），不具有安全性风险，</w:t>
            </w:r>
            <w:r>
              <w:rPr>
                <w:rFonts w:eastAsia="仿宋_GB2312"/>
                <w:kern w:val="0"/>
                <w:sz w:val="24"/>
                <w:szCs w:val="21"/>
              </w:rPr>
              <w:t>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辛甘醇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13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时，其在化妆品中的存在是安全的。本产品中二甘醇的浓度为15.5 mg/kg（即0.00155%），不具有安全性风险，</w:t>
            </w:r>
            <w:r>
              <w:rPr>
                <w:rFonts w:eastAsia="仿宋_GB2312"/>
                <w:kern w:val="0"/>
                <w:sz w:val="24"/>
                <w:szCs w:val="21"/>
              </w:rPr>
              <w:t>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 xml:space="preserve">C11-15 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链烷醇聚醚</w:t>
            </w:r>
            <w:r>
              <w:rPr>
                <w:rFonts w:eastAsia="仿宋_GB2312"/>
                <w:kern w:val="0"/>
                <w:sz w:val="24"/>
                <w:szCs w:val="21"/>
              </w:rPr>
              <w:t>-7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烷和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烷：化妆品终产品中二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烷的残留浓度应符合《化妆品安全技术规范》（2015版）第一章&lt;概述&gt;中表2“化妆品中有害物质限值”的要求，即二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烷的残留浓度应小于30mg/kg。本产品中二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烷的残留浓度＜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 xml:space="preserve"> mg/kg，符合该要求，见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化妆品备案检验报告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二甘醇：欧洲消费者安全科学委员（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13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时，其在化妆品中的存在是安全的。本产品中二甘醇的浓度为15.5 mg/kg（即0.00155%），不具有安全性风险，</w:t>
            </w:r>
            <w:r>
              <w:rPr>
                <w:rFonts w:eastAsia="仿宋_GB2312"/>
                <w:kern w:val="0"/>
                <w:sz w:val="24"/>
                <w:szCs w:val="21"/>
              </w:rPr>
              <w:t>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丁二醇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13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时，其在化妆品中的存在是安全的。本产品中二甘醇的浓度为15.5 mg/kg（即0.00155%），不具有安全性风险，</w:t>
            </w:r>
            <w:r>
              <w:rPr>
                <w:rFonts w:eastAsia="仿宋_GB2312"/>
                <w:kern w:val="0"/>
                <w:sz w:val="24"/>
                <w:szCs w:val="21"/>
              </w:rPr>
              <w:t>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双丙甘醇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13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时，其在化妆品中的存在是安全的。本产品中二甘醇的浓度为15.5 mg/kg（即0.00155%），不具有安全性风险，</w:t>
            </w:r>
            <w:r>
              <w:rPr>
                <w:rFonts w:eastAsia="仿宋_GB2312"/>
                <w:kern w:val="0"/>
                <w:sz w:val="24"/>
                <w:szCs w:val="21"/>
              </w:rPr>
              <w:t>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山梨酸钾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碘丙炔醇丁基氨甲酸酯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此外，该产品的检验报告显示其铅、汞、砷、镉、二</w:t>
      </w:r>
      <w:r>
        <w:rPr>
          <w:rFonts w:asciiTheme="minorEastAsia" w:hAnsiTheme="minorEastAsia" w:eastAsiaTheme="minorEastAsia"/>
          <w:sz w:val="32"/>
          <w:szCs w:val="28"/>
        </w:rPr>
        <w:t>噁</w:t>
      </w:r>
      <w:r>
        <w:rPr>
          <w:rFonts w:eastAsia="仿宋_GB2312"/>
          <w:sz w:val="32"/>
          <w:szCs w:val="28"/>
        </w:rPr>
        <w:t>烷检验结果符合《化妆品安全技术规范》（2015年版）表2《化妆品中有害物质限量》的限值要求。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6" w:name="_Toc182477227"/>
      <w:r>
        <w:rPr>
          <w:rFonts w:ascii="黑体" w:hAnsi="黑体" w:eastAsia="黑体"/>
          <w:b w:val="0"/>
        </w:rPr>
        <w:t>六、风险控制措施或建议</w:t>
      </w:r>
      <w:bookmarkEnd w:id="6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眼线液笔，适用于眼部，可每日使用</w:t>
      </w:r>
      <w:r>
        <w:rPr>
          <w:rFonts w:eastAsia="仿宋_GB2312"/>
          <w:sz w:val="32"/>
          <w:szCs w:val="28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已标注的警示语：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警告：请勿进入眼睛。xxxxxxxxxxxxxx含碘丙炔醇丁基氨甲酸酯，三岁以下儿童勿用。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7" w:name="_Toc182477228"/>
      <w:r>
        <w:rPr>
          <w:rFonts w:ascii="黑体" w:hAnsi="黑体" w:eastAsia="黑体"/>
          <w:b w:val="0"/>
        </w:rPr>
        <w:t>七、安全评估结论</w:t>
      </w:r>
      <w:bookmarkEnd w:id="7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眼线液笔（驻留</w:t>
      </w:r>
      <w:r>
        <w:rPr>
          <w:rFonts w:eastAsia="仿宋_GB2312"/>
          <w:sz w:val="32"/>
          <w:szCs w:val="28"/>
        </w:rPr>
        <w:t>类化妆品</w:t>
      </w:r>
      <w:r>
        <w:rPr>
          <w:rFonts w:hint="eastAsia" w:eastAsia="仿宋_GB2312"/>
          <w:sz w:val="32"/>
          <w:szCs w:val="28"/>
        </w:rPr>
        <w:t>），适用于眼部，可每日使用</w:t>
      </w:r>
      <w:r>
        <w:rPr>
          <w:rFonts w:eastAsia="仿宋_GB2312"/>
          <w:sz w:val="32"/>
          <w:szCs w:val="28"/>
        </w:rPr>
        <w:t>。主要暴露方式为经皮吸收，根据产品的特性，对本产品的暴露评估考虑经皮途径。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通过对产品以下各方面的综合评估：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1、各成分的安全评估结果显示，所有成分在本产品浓度下不会对人体健康产生危害；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2、可能存在的安全性风险物质检测及评估结果显示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不会对人体健康产生危害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3、微生物检验结果显示该产品微生物符合《化妆品安全技术规范》（2015年版）有关要求；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4、有害物质检测结果显示，该产品有害物质含量符合《化妆品安全技术规范》（2015年版）有关要求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</w:t>
      </w:r>
      <w:r>
        <w:rPr>
          <w:rFonts w:hint="eastAsia" w:eastAsia="仿宋_GB2312"/>
          <w:sz w:val="32"/>
          <w:szCs w:val="28"/>
        </w:rPr>
        <w:t>本产品的急性眼刺激性试验结果为无刺激性，多次皮肤刺激性试验结果为无刺激性，本产品对人体无眼和皮肤刺激性风险；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6、</w:t>
      </w:r>
      <w:r>
        <w:rPr>
          <w:rFonts w:eastAsia="仿宋_GB2312"/>
          <w:sz w:val="32"/>
          <w:szCs w:val="28"/>
        </w:rPr>
        <w:t>配方中各成分之间未预见发生有害的相互作用</w:t>
      </w:r>
      <w:r>
        <w:rPr>
          <w:rFonts w:hint="eastAsia" w:eastAsia="仿宋_GB2312"/>
          <w:sz w:val="32"/>
          <w:szCs w:val="28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7、产品的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  <w:lang w:eastAsia="zh-CN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</w:rPr>
        <w:t>8、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  <w:lang w:eastAsia="zh-CN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9、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综上，认为该产品在正常及合理、可预见的使用条件下，不会对人体健康产生危害。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本企业履行相应产品质量安全义务，对产品安全性负主体责任，承诺遵循科学、公正、透明和个案分析的原则对产品安全性进行评估，对报告的科学性、准确性、真实性和可靠性负责。本报告是基于当前认知水平下、以现有科学数据和相关信息为基础进行的安全评估；当毒理学新发现或者上市后不良反应数据导致当前评估结果改变时，本报告会根据相关内容进行更新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8" w:name="_Toc182477229"/>
      <w:r>
        <w:rPr>
          <w:rFonts w:ascii="黑体" w:hAnsi="黑体" w:eastAsia="黑体"/>
          <w:b w:val="0"/>
        </w:rPr>
        <w:t>八</w:t>
      </w:r>
      <w:r>
        <w:rPr>
          <w:rFonts w:hint="eastAsia" w:ascii="黑体" w:hAnsi="黑体" w:eastAsia="黑体"/>
          <w:b w:val="0"/>
        </w:rPr>
        <w:t xml:space="preserve"> </w:t>
      </w:r>
      <w:r>
        <w:rPr>
          <w:rFonts w:ascii="黑体" w:hAnsi="黑体" w:eastAsia="黑体"/>
          <w:b w:val="0"/>
        </w:rPr>
        <w:t>、安全评估人员的签名</w:t>
      </w:r>
      <w:bookmarkEnd w:id="8"/>
      <w:r>
        <w:rPr>
          <w:rFonts w:ascii="黑体" w:hAnsi="黑体" w:eastAsia="黑体"/>
          <w:b w:val="0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评估人员：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日期：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地址：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9" w:name="_Toc182477230"/>
      <w:r>
        <w:rPr>
          <w:rFonts w:ascii="黑体" w:hAnsi="黑体" w:eastAsia="黑体"/>
          <w:b w:val="0"/>
        </w:rPr>
        <w:t>九、安全评估人员简历</w:t>
      </w:r>
      <w:bookmarkEnd w:id="9"/>
    </w:p>
    <w:tbl>
      <w:tblPr>
        <w:tblStyle w:val="1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925"/>
        <w:gridCol w:w="167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从事工作简介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</w:tbl>
    <w:p>
      <w:pPr>
        <w:adjustRightInd w:val="0"/>
        <w:snapToGrid w:val="0"/>
        <w:spacing w:line="580" w:lineRule="exact"/>
        <w:rPr>
          <w:rFonts w:eastAsia="仿宋_GB2312"/>
          <w:sz w:val="32"/>
          <w:szCs w:val="28"/>
        </w:rPr>
      </w:pP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0" w:name="_Toc182477231"/>
      <w:r>
        <w:rPr>
          <w:rFonts w:ascii="黑体" w:hAnsi="黑体" w:eastAsia="黑体"/>
          <w:b w:val="0"/>
        </w:rPr>
        <w:t>十、参考文献</w:t>
      </w:r>
      <w:bookmarkEnd w:id="10"/>
    </w:p>
    <w:p>
      <w:pPr>
        <w:pStyle w:val="3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国家食品药品监督管理总局，关于发布化妆品安全技术规范（2015年版）的公告，2015年第268号</w:t>
      </w:r>
    </w:p>
    <w:p>
      <w:pPr>
        <w:pStyle w:val="3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国家食品药品监督管理总局，关于发布《已使用化妆品原料目录（2021年版）》的公告，2021年第62号</w:t>
      </w:r>
    </w:p>
    <w:p>
      <w:pPr>
        <w:pStyle w:val="3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中国食品药品检定研究院，中检院关于发布《国际权威化妆品安全评估数据索引》和《已上市产品原料使用信息》的通知，发布时间：2024-04-30</w:t>
      </w:r>
    </w:p>
    <w:p>
      <w:pPr>
        <w:pStyle w:val="3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Opinion on Carbon Black (nano-form). SCCS/1</w:t>
      </w:r>
      <w:r>
        <w:rPr>
          <w:rFonts w:hint="eastAsia" w:eastAsia="仿宋_GB2312"/>
          <w:sz w:val="32"/>
          <w:szCs w:val="28"/>
        </w:rPr>
        <w:t>515</w:t>
      </w:r>
      <w:r>
        <w:rPr>
          <w:rFonts w:eastAsia="仿宋_GB2312"/>
          <w:sz w:val="32"/>
          <w:szCs w:val="28"/>
        </w:rPr>
        <w:t>/</w:t>
      </w:r>
      <w:r>
        <w:rPr>
          <w:rFonts w:hint="eastAsia" w:eastAsia="仿宋_GB2312"/>
          <w:sz w:val="32"/>
          <w:szCs w:val="28"/>
        </w:rPr>
        <w:t>13</w:t>
      </w:r>
      <w:r>
        <w:rPr>
          <w:rFonts w:eastAsia="仿宋_GB2312"/>
          <w:sz w:val="32"/>
          <w:szCs w:val="28"/>
        </w:rPr>
        <w:t>, Revision of 15 December 2015</w:t>
      </w:r>
    </w:p>
    <w:p>
      <w:pPr>
        <w:pStyle w:val="3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Propylene Glycol, Tripropylene Glycol, and PPGs as Used in Cosmetics. International Journal of Toxicology, 2012, 31(Suppl. 2): 245-260</w:t>
      </w:r>
    </w:p>
    <w:p>
      <w:pPr>
        <w:pStyle w:val="3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Amended Safety Assessment of Acrylates Copolymers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 xml:space="preserve">as Used in Cosmetics. Final Report </w:t>
      </w:r>
      <w:r>
        <w:rPr>
          <w:rFonts w:hint="eastAsia" w:eastAsia="仿宋_GB2312"/>
          <w:sz w:val="32"/>
          <w:szCs w:val="28"/>
        </w:rPr>
        <w:t>12</w:t>
      </w:r>
      <w:r>
        <w:rPr>
          <w:rFonts w:eastAsia="仿宋_GB2312"/>
          <w:sz w:val="32"/>
          <w:szCs w:val="28"/>
        </w:rPr>
        <w:t>/20</w:t>
      </w:r>
      <w:r>
        <w:rPr>
          <w:rFonts w:hint="eastAsia" w:eastAsia="仿宋_GB2312"/>
          <w:sz w:val="32"/>
          <w:szCs w:val="28"/>
        </w:rPr>
        <w:t>18</w:t>
      </w:r>
      <w:r>
        <w:rPr>
          <w:rFonts w:eastAsia="仿宋_GB2312"/>
          <w:sz w:val="32"/>
          <w:szCs w:val="28"/>
        </w:rPr>
        <w:t xml:space="preserve"> Available from CIR</w:t>
      </w:r>
    </w:p>
    <w:p>
      <w:pPr>
        <w:pStyle w:val="3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Vinylpyrrolidone Polymers as Used in Cosmetics. Final Report 12/2018 Available from CIR</w:t>
      </w:r>
    </w:p>
    <w:p>
      <w:pPr>
        <w:pStyle w:val="3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  <w:sectPr>
          <w:headerReference r:id="rId3" w:type="default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p>
      <w:pPr>
        <w:pStyle w:val="3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bookmarkStart w:id="11" w:name="_Toc107652027"/>
      <w:r>
        <w:rPr>
          <w:rFonts w:eastAsia="仿宋_GB2312"/>
          <w:sz w:val="32"/>
          <w:szCs w:val="28"/>
        </w:rPr>
        <w:t>Amended Safety Assessment of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 xml:space="preserve">Silicates as Used in Cosmetics. Final Report </w:t>
      </w:r>
      <w:r>
        <w:rPr>
          <w:rFonts w:hint="eastAsia" w:eastAsia="仿宋_GB2312"/>
          <w:sz w:val="32"/>
          <w:szCs w:val="28"/>
        </w:rPr>
        <w:t>12</w:t>
      </w:r>
      <w:r>
        <w:rPr>
          <w:rFonts w:eastAsia="仿宋_GB2312"/>
          <w:sz w:val="32"/>
          <w:szCs w:val="28"/>
        </w:rPr>
        <w:t>/20</w:t>
      </w:r>
      <w:r>
        <w:rPr>
          <w:rFonts w:hint="eastAsia" w:eastAsia="仿宋_GB2312"/>
          <w:sz w:val="32"/>
          <w:szCs w:val="28"/>
        </w:rPr>
        <w:t>21</w:t>
      </w:r>
      <w:r>
        <w:rPr>
          <w:rFonts w:eastAsia="仿宋_GB2312"/>
          <w:sz w:val="32"/>
          <w:szCs w:val="28"/>
        </w:rPr>
        <w:t xml:space="preserve"> Available from CIR</w:t>
      </w:r>
    </w:p>
    <w:p>
      <w:pPr>
        <w:pStyle w:val="3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Polysorbates as Used in Cosmetics. Final Report 06/2015 Available from CIR</w:t>
      </w:r>
    </w:p>
    <w:p>
      <w:pPr>
        <w:pStyle w:val="3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1,2-Glycols as Used in Cosmetics. International Journal of Toxicology, 2012, 31(Suppl. 2): 147-168</w:t>
      </w:r>
    </w:p>
    <w:p>
      <w:pPr>
        <w:pStyle w:val="3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Alkyl PEG Ethers as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Used in Cosmetics</w:t>
      </w:r>
      <w:r>
        <w:rPr>
          <w:rFonts w:hint="eastAsia" w:eastAsia="仿宋_GB2312"/>
          <w:sz w:val="32"/>
          <w:szCs w:val="28"/>
        </w:rPr>
        <w:t xml:space="preserve">. </w:t>
      </w:r>
      <w:r>
        <w:rPr>
          <w:rFonts w:eastAsia="仿宋_GB2312"/>
          <w:sz w:val="32"/>
          <w:szCs w:val="28"/>
        </w:rPr>
        <w:t xml:space="preserve">International Journal of Toxicology, 2012, </w:t>
      </w:r>
      <w:r>
        <w:rPr>
          <w:rFonts w:hint="eastAsia" w:eastAsia="仿宋_GB2312"/>
          <w:sz w:val="32"/>
          <w:szCs w:val="28"/>
        </w:rPr>
        <w:t>31</w:t>
      </w:r>
      <w:r>
        <w:rPr>
          <w:rFonts w:eastAsia="仿宋_GB2312"/>
          <w:sz w:val="32"/>
          <w:szCs w:val="28"/>
        </w:rPr>
        <w:t>(Suppl. 2):169-244</w:t>
      </w:r>
    </w:p>
    <w:p>
      <w:pPr>
        <w:pStyle w:val="3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Annual Review of Cosmetic Ingredient Safety Assessment - 2004/2005. International Journal of Toxicology, 2006, 25(Suppl. 2): 1-89</w:t>
      </w:r>
    </w:p>
    <w:p>
      <w:pPr>
        <w:pStyle w:val="3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欧洲议会和理事会法规（EC） No.1223/2009</w:t>
      </w:r>
    </w:p>
    <w:p>
      <w:pPr>
        <w:pStyle w:val="3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日本化妆品标准，日本厚生劳动省告示第</w:t>
      </w:r>
      <w:r>
        <w:rPr>
          <w:rFonts w:eastAsia="仿宋_GB2312"/>
          <w:sz w:val="32"/>
          <w:szCs w:val="28"/>
        </w:rPr>
        <w:t>331</w:t>
      </w:r>
      <w:r>
        <w:rPr>
          <w:rFonts w:hint="eastAsia" w:eastAsia="仿宋_GB2312"/>
          <w:sz w:val="32"/>
          <w:szCs w:val="28"/>
        </w:rPr>
        <w:t>号（</w:t>
      </w:r>
      <w:r>
        <w:rPr>
          <w:rFonts w:eastAsia="仿宋_GB2312"/>
          <w:sz w:val="32"/>
          <w:szCs w:val="28"/>
        </w:rPr>
        <w:t>2000</w:t>
      </w:r>
      <w:r>
        <w:rPr>
          <w:rFonts w:hint="eastAsia" w:eastAsia="仿宋_GB2312"/>
          <w:sz w:val="32"/>
          <w:szCs w:val="28"/>
        </w:rPr>
        <w:t>年</w:t>
      </w:r>
      <w:r>
        <w:rPr>
          <w:rFonts w:eastAsia="仿宋_GB2312"/>
          <w:sz w:val="32"/>
          <w:szCs w:val="28"/>
        </w:rPr>
        <w:t>9</w:t>
      </w:r>
      <w:r>
        <w:rPr>
          <w:rFonts w:hint="eastAsia" w:eastAsia="仿宋_GB2312"/>
          <w:sz w:val="32"/>
          <w:szCs w:val="28"/>
        </w:rPr>
        <w:t>月）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2" w:name="_Toc182477232"/>
      <w:r>
        <w:rPr>
          <w:rFonts w:ascii="黑体" w:hAnsi="黑体" w:eastAsia="黑体"/>
          <w:b w:val="0"/>
        </w:rPr>
        <w:t>十一、附录</w:t>
      </w:r>
      <w:bookmarkEnd w:id="11"/>
      <w:bookmarkEnd w:id="12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1</w:t>
      </w:r>
      <w:r>
        <w:rPr>
          <w:rFonts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</w:rPr>
        <w:t>原料供应商提供的xx号原料的质量规格证明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</w:rPr>
        <w:t>、产品的微生物、有害物质和二</w:t>
      </w:r>
      <w:r>
        <w:rPr>
          <w:rFonts w:hint="eastAsia" w:asciiTheme="minorEastAsia" w:hAnsiTheme="minorEastAsia" w:eastAsiaTheme="minorEastAsia"/>
          <w:sz w:val="32"/>
          <w:szCs w:val="28"/>
        </w:rPr>
        <w:t>噁</w:t>
      </w:r>
      <w:r>
        <w:rPr>
          <w:rFonts w:hint="eastAsia" w:eastAsia="仿宋_GB2312"/>
          <w:sz w:val="32"/>
          <w:szCs w:val="28"/>
        </w:rPr>
        <w:t>烷的检测报告（见化妆品备案检验报告xxxxxx），产品中二甘醇和苯酚的检验报告（xxxxxx）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3</w:t>
      </w:r>
      <w:r>
        <w:rPr>
          <w:rFonts w:hint="eastAsia" w:eastAsia="仿宋_GB2312"/>
          <w:sz w:val="32"/>
          <w:szCs w:val="28"/>
        </w:rPr>
        <w:t>、风险物质二甘醇和苯酚的评估依据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4、产品防腐效能评估或测试结论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5、</w:t>
      </w:r>
      <w:r>
        <w:rPr>
          <w:rFonts w:hint="eastAsia" w:eastAsia="仿宋_GB2312"/>
          <w:sz w:val="32"/>
          <w:szCs w:val="28"/>
        </w:rPr>
        <w:t>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6、产品的包装相容性评估或测试结论</w:t>
      </w:r>
    </w:p>
    <w:p>
      <w:pP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包材相容性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xxx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眼线液笔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与包材相容性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评估结论：</w:t>
      </w:r>
      <w:r>
        <w:rPr>
          <w:rFonts w:hint="eastAsia" w:ascii="宋体" w:hAnsi="宋体" w:eastAsia="宋体" w:cs="宋体"/>
          <w:sz w:val="28"/>
          <w:szCs w:val="28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对于本声明中的评估过程及评估结论的科学性、准确性和真实性负责。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after="0" w:line="400" w:lineRule="exact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20XX年XX月XX日</w:t>
      </w:r>
    </w:p>
    <w:p>
      <w:pP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防腐效能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spacing w:after="0" w:line="360" w:lineRule="auto"/>
        <w:rPr>
          <w:rFonts w:ascii="宋体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xxx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眼线液笔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color w:val="7F7F7F" w:themeColor="background1" w:themeShade="80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自建测试或评估方法对化妆品的防腐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效能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(包含试验起止日期、试验样品、测试菌株、中和剂、试验结果等内容描述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评估结论：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173081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-1307544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>
      <w:pPr>
        <w:spacing w:after="0"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对于本产品防腐有效性的评估过程及评估结论的科学性、准确性和真实性负责。</w:t>
      </w:r>
    </w:p>
    <w:p>
      <w:pPr>
        <w:spacing w:before="0" w:after="0" w:line="400" w:lineRule="exact"/>
        <w:ind w:right="280"/>
        <w:jc w:val="right"/>
        <w:rPr>
          <w:rFonts w:ascii="宋体" w:hAnsi="宋体" w:cs="Times New Roman"/>
          <w:sz w:val="28"/>
          <w:szCs w:val="28"/>
        </w:rPr>
      </w:pP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before="0" w:after="0" w:line="400" w:lineRule="exact"/>
        <w:jc w:val="right"/>
        <w:rPr>
          <w:rFonts w:hint="eastAsia" w:eastAsia="仿宋_GB2312"/>
          <w:sz w:val="32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>
      <w:pP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xxx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眼线</w:t>
      </w:r>
      <w:bookmarkStart w:id="13" w:name="_GoBack"/>
      <w:bookmarkEnd w:id="13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液笔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-17282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hint="eastAsia"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hint="eastAsia"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hint="eastAsia" w:eastAsia="宋体" w:cs="Times New Roman (正文 CS 字体)"/>
          <w:sz w:val="28"/>
          <w:szCs w:val="28"/>
        </w:rPr>
        <w:t>、国家标准、行业标准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或</w:t>
      </w:r>
      <w:r>
        <w:rPr>
          <w:rFonts w:hint="eastAsia" w:eastAsia="宋体" w:cs="Times New Roman (正文 CS 字体)"/>
          <w:sz w:val="28"/>
          <w:szCs w:val="28"/>
        </w:rPr>
        <w:t>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hint="eastAsia" w:eastAsia="宋体" w:cs="Times New Roman (正文 CS 字体)"/>
          <w:sz w:val="28"/>
          <w:szCs w:val="28"/>
        </w:rPr>
        <w:t>开展的相关研究（企业提供参考具体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文件</w:t>
      </w:r>
      <w:r>
        <w:rPr>
          <w:rFonts w:hint="eastAsia" w:eastAsia="宋体" w:cs="Times New Roman (正文 CS 字体)"/>
          <w:sz w:val="28"/>
          <w:szCs w:val="28"/>
        </w:rPr>
        <w:t>名称和编号）；</w:t>
      </w:r>
    </w:p>
    <w:p>
      <w:pPr>
        <w:pStyle w:val="37"/>
        <w:suppressLineNumbers w:val="0"/>
        <w:bidi w:val="0"/>
        <w:spacing w:before="0" w:beforeAutospacing="0" w:after="0" w:afterAutospacing="0" w:line="360" w:lineRule="auto"/>
        <w:ind w:left="270" w:right="0"/>
        <w:jc w:val="left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1862654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MS Gothic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自建测试或评估方法对化妆品的稳定性开展的研究报告；方法经过企业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</w:t>
      </w:r>
      <w:r>
        <w:rPr>
          <w:rFonts w:eastAsia="宋体" w:cs="Times New Roman (正文 CS 字体)"/>
          <w:sz w:val="28"/>
          <w:szCs w:val="28"/>
          <w:lang w:eastAsia="zh-CN"/>
        </w:rPr>
        <w:t>（企业提供内部标准操作规程</w:t>
      </w:r>
      <w:r>
        <w:rPr>
          <w:rFonts w:hint="eastAsia" w:eastAsia="宋体" w:cs="Times New Roman (正文 CS 字体)"/>
          <w:sz w:val="28"/>
          <w:szCs w:val="28"/>
        </w:rPr>
        <w:t>名称和编号</w:t>
      </w:r>
      <w:r>
        <w:rPr>
          <w:rFonts w:eastAsia="宋体" w:cs="Times New Roman (正文 CS 字体)"/>
          <w:sz w:val="28"/>
          <w:szCs w:val="28"/>
          <w:lang w:eastAsia="zh-CN"/>
        </w:rPr>
        <w:t>）</w:t>
      </w:r>
      <w:r>
        <w:rPr>
          <w:rFonts w:hint="eastAsia" w:eastAsia="宋体" w:cs="Times New Roman (正文 CS 字体)"/>
          <w:sz w:val="28"/>
          <w:szCs w:val="28"/>
          <w:lang w:eastAsia="zh-CN"/>
        </w:rPr>
        <w:t>；</w:t>
      </w:r>
    </w:p>
    <w:p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61312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其它：（</w:t>
      </w:r>
      <w:r>
        <w:rPr>
          <w:rFonts w:hint="eastAsia" w:eastAsia="宋体" w:cs="Times New Roman (正文 CS 字体)"/>
          <w:sz w:val="28"/>
          <w:szCs w:val="28"/>
        </w:rPr>
        <w:t>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eastAsia="宋体" w:cs="Times New Roman (正文 CS 字体)"/>
          <w:sz w:val="28"/>
          <w:szCs w:val="28"/>
        </w:rPr>
        <w:t>）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(包含试验起止日期，试验样品、试验方法、试验考察项目、试验结果等内容描述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/>
          <w:b/>
          <w:bCs/>
          <w:sz w:val="28"/>
          <w:szCs w:val="28"/>
        </w:rPr>
        <w:t>评估结论：</w:t>
      </w:r>
      <w:r>
        <w:rPr>
          <w:rFonts w:ascii="宋体" w:hAnsi="宋体"/>
          <w:sz w:val="28"/>
          <w:szCs w:val="28"/>
        </w:rPr>
        <w:t>经对化妆品稳定性研究结果进行系统分析，结合产品特性和产品配方等进行综合研判，基于现有的知识水平，在正常可预见的存储条件下，本产品的稳定性可达XX个月。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对于本产品稳定性的评估过程及评估结论的科学性、准确性和真实性负责。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after="0" w:line="400" w:lineRule="exact"/>
        <w:jc w:val="right"/>
        <w:rPr>
          <w:rFonts w:hint="eastAsia" w:eastAsia="仿宋_GB2312"/>
          <w:sz w:val="32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sectPr>
      <w:headerReference r:id="rId5" w:type="first"/>
      <w:footerReference r:id="rId6" w:type="default"/>
      <w:headerReference r:id="rId4" w:type="even"/>
      <w:type w:val="continuous"/>
      <w:pgSz w:w="11906" w:h="16838"/>
      <w:pgMar w:top="1928" w:right="1531" w:bottom="1814" w:left="1531" w:header="851" w:footer="68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</w:p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_GB2312" w:hAnsi="仿宋_GB2312" w:eastAsia="仿宋_GB2312" w:cs="仿宋_GB2312"/>
        <w:kern w:val="0"/>
      </w:rPr>
    </w:pPr>
  </w:p>
  <w:p>
    <w:pPr>
      <w:rPr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9540D"/>
    <w:multiLevelType w:val="multilevel"/>
    <w:tmpl w:val="6A89540D"/>
    <w:lvl w:ilvl="0" w:tentative="0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21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nst_PassKey" w:val="防伪码"/>
    <w:docVar w:name="Const_PrintDate" w:val="打印日期"/>
    <w:docVar w:name="Field_IndexNO" w:val="报告编号"/>
  </w:docVars>
  <w:rsids>
    <w:rsidRoot w:val="00172A27"/>
    <w:rsid w:val="00000423"/>
    <w:rsid w:val="0000265C"/>
    <w:rsid w:val="0000593A"/>
    <w:rsid w:val="00010DCC"/>
    <w:rsid w:val="00011934"/>
    <w:rsid w:val="00014F00"/>
    <w:rsid w:val="00016D27"/>
    <w:rsid w:val="00016E93"/>
    <w:rsid w:val="00016EC1"/>
    <w:rsid w:val="00020F69"/>
    <w:rsid w:val="0002242D"/>
    <w:rsid w:val="00025396"/>
    <w:rsid w:val="000303DA"/>
    <w:rsid w:val="00031A5E"/>
    <w:rsid w:val="00034301"/>
    <w:rsid w:val="00041219"/>
    <w:rsid w:val="00051008"/>
    <w:rsid w:val="00051450"/>
    <w:rsid w:val="00051D8F"/>
    <w:rsid w:val="0005289C"/>
    <w:rsid w:val="00054A06"/>
    <w:rsid w:val="00054E53"/>
    <w:rsid w:val="00061F9B"/>
    <w:rsid w:val="0006364D"/>
    <w:rsid w:val="00064261"/>
    <w:rsid w:val="00064E34"/>
    <w:rsid w:val="000653C6"/>
    <w:rsid w:val="000659CE"/>
    <w:rsid w:val="00066491"/>
    <w:rsid w:val="0006686B"/>
    <w:rsid w:val="0007030E"/>
    <w:rsid w:val="0007052E"/>
    <w:rsid w:val="00071507"/>
    <w:rsid w:val="00072023"/>
    <w:rsid w:val="00072DF3"/>
    <w:rsid w:val="00074936"/>
    <w:rsid w:val="00074A1C"/>
    <w:rsid w:val="00075A60"/>
    <w:rsid w:val="000763D4"/>
    <w:rsid w:val="000771CE"/>
    <w:rsid w:val="00090237"/>
    <w:rsid w:val="0009104F"/>
    <w:rsid w:val="000910AE"/>
    <w:rsid w:val="00094984"/>
    <w:rsid w:val="00095CA2"/>
    <w:rsid w:val="000960FD"/>
    <w:rsid w:val="000A2989"/>
    <w:rsid w:val="000A2ADC"/>
    <w:rsid w:val="000A4BD0"/>
    <w:rsid w:val="000A5F93"/>
    <w:rsid w:val="000A6306"/>
    <w:rsid w:val="000B0A31"/>
    <w:rsid w:val="000B1DB8"/>
    <w:rsid w:val="000C089C"/>
    <w:rsid w:val="000C6B84"/>
    <w:rsid w:val="000C74EC"/>
    <w:rsid w:val="000D06C6"/>
    <w:rsid w:val="000D1225"/>
    <w:rsid w:val="000D128C"/>
    <w:rsid w:val="000D1702"/>
    <w:rsid w:val="000D2D36"/>
    <w:rsid w:val="000D3B40"/>
    <w:rsid w:val="000D501F"/>
    <w:rsid w:val="000D63FE"/>
    <w:rsid w:val="000E0170"/>
    <w:rsid w:val="000E1606"/>
    <w:rsid w:val="000E1732"/>
    <w:rsid w:val="000E2760"/>
    <w:rsid w:val="000E34A9"/>
    <w:rsid w:val="000E4623"/>
    <w:rsid w:val="000F0886"/>
    <w:rsid w:val="000F6C4E"/>
    <w:rsid w:val="000F70EF"/>
    <w:rsid w:val="001000C4"/>
    <w:rsid w:val="00101444"/>
    <w:rsid w:val="00101F08"/>
    <w:rsid w:val="001039CB"/>
    <w:rsid w:val="001102C1"/>
    <w:rsid w:val="00112D8C"/>
    <w:rsid w:val="00112EA9"/>
    <w:rsid w:val="00116322"/>
    <w:rsid w:val="0011640B"/>
    <w:rsid w:val="001171E8"/>
    <w:rsid w:val="001200E6"/>
    <w:rsid w:val="0012617C"/>
    <w:rsid w:val="00126D6E"/>
    <w:rsid w:val="00130592"/>
    <w:rsid w:val="00133D55"/>
    <w:rsid w:val="001350EC"/>
    <w:rsid w:val="00136AA0"/>
    <w:rsid w:val="00136D88"/>
    <w:rsid w:val="00136F6B"/>
    <w:rsid w:val="00141240"/>
    <w:rsid w:val="00141DB5"/>
    <w:rsid w:val="00144732"/>
    <w:rsid w:val="00145D63"/>
    <w:rsid w:val="00146B82"/>
    <w:rsid w:val="001476A0"/>
    <w:rsid w:val="0014799B"/>
    <w:rsid w:val="00150568"/>
    <w:rsid w:val="001513C0"/>
    <w:rsid w:val="00151F78"/>
    <w:rsid w:val="001548CA"/>
    <w:rsid w:val="00155C30"/>
    <w:rsid w:val="001562A7"/>
    <w:rsid w:val="00156CD0"/>
    <w:rsid w:val="00157D65"/>
    <w:rsid w:val="00160B02"/>
    <w:rsid w:val="00162F89"/>
    <w:rsid w:val="00164368"/>
    <w:rsid w:val="00164840"/>
    <w:rsid w:val="00165A93"/>
    <w:rsid w:val="00165AD2"/>
    <w:rsid w:val="00166948"/>
    <w:rsid w:val="00166CB5"/>
    <w:rsid w:val="0017149E"/>
    <w:rsid w:val="00172A27"/>
    <w:rsid w:val="00173217"/>
    <w:rsid w:val="00175CEF"/>
    <w:rsid w:val="00176FF9"/>
    <w:rsid w:val="0017724C"/>
    <w:rsid w:val="0018329D"/>
    <w:rsid w:val="001838F7"/>
    <w:rsid w:val="00183DA8"/>
    <w:rsid w:val="00186786"/>
    <w:rsid w:val="00190303"/>
    <w:rsid w:val="0019201F"/>
    <w:rsid w:val="00194713"/>
    <w:rsid w:val="001977FE"/>
    <w:rsid w:val="001A0666"/>
    <w:rsid w:val="001A0B67"/>
    <w:rsid w:val="001A2E79"/>
    <w:rsid w:val="001A43D5"/>
    <w:rsid w:val="001A579A"/>
    <w:rsid w:val="001A6B1A"/>
    <w:rsid w:val="001B1E78"/>
    <w:rsid w:val="001B2BC2"/>
    <w:rsid w:val="001B61C4"/>
    <w:rsid w:val="001B6325"/>
    <w:rsid w:val="001B7393"/>
    <w:rsid w:val="001B7562"/>
    <w:rsid w:val="001C035F"/>
    <w:rsid w:val="001C3EB6"/>
    <w:rsid w:val="001C3EBC"/>
    <w:rsid w:val="001C478D"/>
    <w:rsid w:val="001C492C"/>
    <w:rsid w:val="001C5EC1"/>
    <w:rsid w:val="001C66C6"/>
    <w:rsid w:val="001D021F"/>
    <w:rsid w:val="001D3923"/>
    <w:rsid w:val="001D59EC"/>
    <w:rsid w:val="001D605D"/>
    <w:rsid w:val="001D6CFC"/>
    <w:rsid w:val="001D7B00"/>
    <w:rsid w:val="001E098D"/>
    <w:rsid w:val="001E10BD"/>
    <w:rsid w:val="001E6B3D"/>
    <w:rsid w:val="001F094A"/>
    <w:rsid w:val="001F1FF8"/>
    <w:rsid w:val="001F2B35"/>
    <w:rsid w:val="001F3612"/>
    <w:rsid w:val="001F3FB0"/>
    <w:rsid w:val="00200068"/>
    <w:rsid w:val="002015A8"/>
    <w:rsid w:val="0020242C"/>
    <w:rsid w:val="00203CD3"/>
    <w:rsid w:val="00204B69"/>
    <w:rsid w:val="002056FA"/>
    <w:rsid w:val="00205EC7"/>
    <w:rsid w:val="0021054C"/>
    <w:rsid w:val="00210B6E"/>
    <w:rsid w:val="0021455C"/>
    <w:rsid w:val="002160B6"/>
    <w:rsid w:val="002164D2"/>
    <w:rsid w:val="00216C7B"/>
    <w:rsid w:val="0022067E"/>
    <w:rsid w:val="00221D9A"/>
    <w:rsid w:val="00222F7A"/>
    <w:rsid w:val="00223952"/>
    <w:rsid w:val="002300C1"/>
    <w:rsid w:val="00231834"/>
    <w:rsid w:val="0023308A"/>
    <w:rsid w:val="002433A8"/>
    <w:rsid w:val="002479BF"/>
    <w:rsid w:val="00247A42"/>
    <w:rsid w:val="00247F9A"/>
    <w:rsid w:val="00250746"/>
    <w:rsid w:val="00250D45"/>
    <w:rsid w:val="002531BF"/>
    <w:rsid w:val="00253B71"/>
    <w:rsid w:val="00256D39"/>
    <w:rsid w:val="00261690"/>
    <w:rsid w:val="002619A8"/>
    <w:rsid w:val="00261C1E"/>
    <w:rsid w:val="00266341"/>
    <w:rsid w:val="002775A6"/>
    <w:rsid w:val="00277826"/>
    <w:rsid w:val="00277D15"/>
    <w:rsid w:val="0028164C"/>
    <w:rsid w:val="002818FC"/>
    <w:rsid w:val="00282590"/>
    <w:rsid w:val="00284E2A"/>
    <w:rsid w:val="00285B72"/>
    <w:rsid w:val="002874CF"/>
    <w:rsid w:val="00290083"/>
    <w:rsid w:val="00290C0B"/>
    <w:rsid w:val="002918A0"/>
    <w:rsid w:val="002944C5"/>
    <w:rsid w:val="002973E1"/>
    <w:rsid w:val="002A030C"/>
    <w:rsid w:val="002A28C1"/>
    <w:rsid w:val="002A45A8"/>
    <w:rsid w:val="002A510C"/>
    <w:rsid w:val="002A7F53"/>
    <w:rsid w:val="002B219C"/>
    <w:rsid w:val="002B30ED"/>
    <w:rsid w:val="002B37EE"/>
    <w:rsid w:val="002B62A4"/>
    <w:rsid w:val="002B6D8D"/>
    <w:rsid w:val="002C17C5"/>
    <w:rsid w:val="002C4E4A"/>
    <w:rsid w:val="002C4E9E"/>
    <w:rsid w:val="002C55DF"/>
    <w:rsid w:val="002C5CC5"/>
    <w:rsid w:val="002D14B4"/>
    <w:rsid w:val="002D19AA"/>
    <w:rsid w:val="002D3E7F"/>
    <w:rsid w:val="002D3F6C"/>
    <w:rsid w:val="002D5EC4"/>
    <w:rsid w:val="002D65B7"/>
    <w:rsid w:val="002E033A"/>
    <w:rsid w:val="002E161E"/>
    <w:rsid w:val="002E30C8"/>
    <w:rsid w:val="002F007F"/>
    <w:rsid w:val="002F2964"/>
    <w:rsid w:val="002F2CC3"/>
    <w:rsid w:val="002F3A72"/>
    <w:rsid w:val="002F4896"/>
    <w:rsid w:val="002F4EB4"/>
    <w:rsid w:val="002F75E3"/>
    <w:rsid w:val="00300D34"/>
    <w:rsid w:val="0030392D"/>
    <w:rsid w:val="00304236"/>
    <w:rsid w:val="0030464E"/>
    <w:rsid w:val="00305019"/>
    <w:rsid w:val="00306586"/>
    <w:rsid w:val="00306C4F"/>
    <w:rsid w:val="00307C46"/>
    <w:rsid w:val="003112CA"/>
    <w:rsid w:val="00315FC0"/>
    <w:rsid w:val="003160C2"/>
    <w:rsid w:val="003168E8"/>
    <w:rsid w:val="00317029"/>
    <w:rsid w:val="00320F29"/>
    <w:rsid w:val="00322672"/>
    <w:rsid w:val="00323882"/>
    <w:rsid w:val="00323910"/>
    <w:rsid w:val="00323FD5"/>
    <w:rsid w:val="00325FF7"/>
    <w:rsid w:val="003265F9"/>
    <w:rsid w:val="00327DA1"/>
    <w:rsid w:val="00330E63"/>
    <w:rsid w:val="00331B0B"/>
    <w:rsid w:val="00332CF7"/>
    <w:rsid w:val="003330A7"/>
    <w:rsid w:val="003341D7"/>
    <w:rsid w:val="00335C90"/>
    <w:rsid w:val="0034300B"/>
    <w:rsid w:val="003479F0"/>
    <w:rsid w:val="00347BBA"/>
    <w:rsid w:val="00347CFB"/>
    <w:rsid w:val="0035031B"/>
    <w:rsid w:val="00350F10"/>
    <w:rsid w:val="003510BE"/>
    <w:rsid w:val="00351116"/>
    <w:rsid w:val="0035163B"/>
    <w:rsid w:val="00352FFE"/>
    <w:rsid w:val="003533ED"/>
    <w:rsid w:val="00357300"/>
    <w:rsid w:val="00357FE6"/>
    <w:rsid w:val="00360EF3"/>
    <w:rsid w:val="0036326B"/>
    <w:rsid w:val="0036351E"/>
    <w:rsid w:val="00363BC0"/>
    <w:rsid w:val="00365089"/>
    <w:rsid w:val="003678FE"/>
    <w:rsid w:val="00372FA6"/>
    <w:rsid w:val="00373132"/>
    <w:rsid w:val="003743A5"/>
    <w:rsid w:val="00374432"/>
    <w:rsid w:val="003754B9"/>
    <w:rsid w:val="00376709"/>
    <w:rsid w:val="0038305D"/>
    <w:rsid w:val="0038307F"/>
    <w:rsid w:val="0038489B"/>
    <w:rsid w:val="0039379B"/>
    <w:rsid w:val="00394B1B"/>
    <w:rsid w:val="003A1C23"/>
    <w:rsid w:val="003A236C"/>
    <w:rsid w:val="003A5842"/>
    <w:rsid w:val="003A5C12"/>
    <w:rsid w:val="003A5C4E"/>
    <w:rsid w:val="003B0962"/>
    <w:rsid w:val="003B1685"/>
    <w:rsid w:val="003B18EB"/>
    <w:rsid w:val="003B35CD"/>
    <w:rsid w:val="003B39B2"/>
    <w:rsid w:val="003B3F47"/>
    <w:rsid w:val="003B452F"/>
    <w:rsid w:val="003C106F"/>
    <w:rsid w:val="003C2192"/>
    <w:rsid w:val="003C2496"/>
    <w:rsid w:val="003C4998"/>
    <w:rsid w:val="003C4A36"/>
    <w:rsid w:val="003C561C"/>
    <w:rsid w:val="003D08E2"/>
    <w:rsid w:val="003D1601"/>
    <w:rsid w:val="003D272A"/>
    <w:rsid w:val="003D6C28"/>
    <w:rsid w:val="003D78E8"/>
    <w:rsid w:val="003E0F00"/>
    <w:rsid w:val="003E2BB6"/>
    <w:rsid w:val="003E5138"/>
    <w:rsid w:val="003E57A2"/>
    <w:rsid w:val="003E7CB8"/>
    <w:rsid w:val="003F23D1"/>
    <w:rsid w:val="003F43B3"/>
    <w:rsid w:val="003F4D3E"/>
    <w:rsid w:val="003F53AF"/>
    <w:rsid w:val="003F553E"/>
    <w:rsid w:val="003F57F7"/>
    <w:rsid w:val="00401515"/>
    <w:rsid w:val="00402CF4"/>
    <w:rsid w:val="004037C9"/>
    <w:rsid w:val="004040ED"/>
    <w:rsid w:val="004044A8"/>
    <w:rsid w:val="004051C5"/>
    <w:rsid w:val="00405AE4"/>
    <w:rsid w:val="00406877"/>
    <w:rsid w:val="00410D1B"/>
    <w:rsid w:val="0041155C"/>
    <w:rsid w:val="004140AD"/>
    <w:rsid w:val="00414507"/>
    <w:rsid w:val="00415656"/>
    <w:rsid w:val="00420A79"/>
    <w:rsid w:val="004218DC"/>
    <w:rsid w:val="00422184"/>
    <w:rsid w:val="004221AF"/>
    <w:rsid w:val="00430EA0"/>
    <w:rsid w:val="00432281"/>
    <w:rsid w:val="004329F7"/>
    <w:rsid w:val="00432EB8"/>
    <w:rsid w:val="0044543F"/>
    <w:rsid w:val="00450EBF"/>
    <w:rsid w:val="00453B18"/>
    <w:rsid w:val="00453F14"/>
    <w:rsid w:val="00455B79"/>
    <w:rsid w:val="004624EC"/>
    <w:rsid w:val="00463C1C"/>
    <w:rsid w:val="00464CDD"/>
    <w:rsid w:val="00465C54"/>
    <w:rsid w:val="004668D0"/>
    <w:rsid w:val="00475219"/>
    <w:rsid w:val="004773D3"/>
    <w:rsid w:val="004778B5"/>
    <w:rsid w:val="004804E8"/>
    <w:rsid w:val="004828E7"/>
    <w:rsid w:val="0048576C"/>
    <w:rsid w:val="00487797"/>
    <w:rsid w:val="004879B6"/>
    <w:rsid w:val="004948AE"/>
    <w:rsid w:val="00494AF9"/>
    <w:rsid w:val="004A09AF"/>
    <w:rsid w:val="004A1724"/>
    <w:rsid w:val="004A3C7E"/>
    <w:rsid w:val="004A48F4"/>
    <w:rsid w:val="004A4F0C"/>
    <w:rsid w:val="004A5C4E"/>
    <w:rsid w:val="004A779F"/>
    <w:rsid w:val="004B0552"/>
    <w:rsid w:val="004B24D1"/>
    <w:rsid w:val="004B2860"/>
    <w:rsid w:val="004B686A"/>
    <w:rsid w:val="004C3D20"/>
    <w:rsid w:val="004C64C3"/>
    <w:rsid w:val="004D5604"/>
    <w:rsid w:val="004D7220"/>
    <w:rsid w:val="004D7576"/>
    <w:rsid w:val="004E0962"/>
    <w:rsid w:val="004E4D8B"/>
    <w:rsid w:val="004E6261"/>
    <w:rsid w:val="004E626F"/>
    <w:rsid w:val="004F073A"/>
    <w:rsid w:val="004F1E11"/>
    <w:rsid w:val="004F27D3"/>
    <w:rsid w:val="004F4265"/>
    <w:rsid w:val="004F441F"/>
    <w:rsid w:val="004F596D"/>
    <w:rsid w:val="0050179C"/>
    <w:rsid w:val="00502A2E"/>
    <w:rsid w:val="00504198"/>
    <w:rsid w:val="00504AA5"/>
    <w:rsid w:val="00504F09"/>
    <w:rsid w:val="005126CB"/>
    <w:rsid w:val="0051425A"/>
    <w:rsid w:val="00515060"/>
    <w:rsid w:val="0051707A"/>
    <w:rsid w:val="005172D2"/>
    <w:rsid w:val="00520E07"/>
    <w:rsid w:val="005236AA"/>
    <w:rsid w:val="00525512"/>
    <w:rsid w:val="00527DC8"/>
    <w:rsid w:val="00530844"/>
    <w:rsid w:val="005314E4"/>
    <w:rsid w:val="0053181E"/>
    <w:rsid w:val="005324CC"/>
    <w:rsid w:val="005325CF"/>
    <w:rsid w:val="00534504"/>
    <w:rsid w:val="005349F5"/>
    <w:rsid w:val="0054081D"/>
    <w:rsid w:val="00540BAF"/>
    <w:rsid w:val="005410CE"/>
    <w:rsid w:val="00544FBE"/>
    <w:rsid w:val="005455A8"/>
    <w:rsid w:val="0054615C"/>
    <w:rsid w:val="00551026"/>
    <w:rsid w:val="00551204"/>
    <w:rsid w:val="00551C18"/>
    <w:rsid w:val="00561E24"/>
    <w:rsid w:val="00561F7A"/>
    <w:rsid w:val="0056324D"/>
    <w:rsid w:val="0056422D"/>
    <w:rsid w:val="00564625"/>
    <w:rsid w:val="00564D6B"/>
    <w:rsid w:val="0056661D"/>
    <w:rsid w:val="00567DA8"/>
    <w:rsid w:val="00571F7F"/>
    <w:rsid w:val="00573488"/>
    <w:rsid w:val="00573B52"/>
    <w:rsid w:val="00577A97"/>
    <w:rsid w:val="00582889"/>
    <w:rsid w:val="005837AF"/>
    <w:rsid w:val="0058521C"/>
    <w:rsid w:val="00590490"/>
    <w:rsid w:val="00592189"/>
    <w:rsid w:val="00593C49"/>
    <w:rsid w:val="005946B9"/>
    <w:rsid w:val="00597253"/>
    <w:rsid w:val="005A027C"/>
    <w:rsid w:val="005A0EDB"/>
    <w:rsid w:val="005A3436"/>
    <w:rsid w:val="005A5F3A"/>
    <w:rsid w:val="005A5F66"/>
    <w:rsid w:val="005B0A4A"/>
    <w:rsid w:val="005B1456"/>
    <w:rsid w:val="005B1B7A"/>
    <w:rsid w:val="005B2A3E"/>
    <w:rsid w:val="005B3118"/>
    <w:rsid w:val="005B404F"/>
    <w:rsid w:val="005B76A1"/>
    <w:rsid w:val="005B77E9"/>
    <w:rsid w:val="005C2C45"/>
    <w:rsid w:val="005C644C"/>
    <w:rsid w:val="005D20CB"/>
    <w:rsid w:val="005D4361"/>
    <w:rsid w:val="005D5D26"/>
    <w:rsid w:val="005D7361"/>
    <w:rsid w:val="005D7901"/>
    <w:rsid w:val="005D7D24"/>
    <w:rsid w:val="005E1942"/>
    <w:rsid w:val="005E216A"/>
    <w:rsid w:val="005E4F82"/>
    <w:rsid w:val="005E6E42"/>
    <w:rsid w:val="005E7595"/>
    <w:rsid w:val="005F0F7D"/>
    <w:rsid w:val="005F1F22"/>
    <w:rsid w:val="005F2A0B"/>
    <w:rsid w:val="005F2E52"/>
    <w:rsid w:val="005F2FEF"/>
    <w:rsid w:val="005F3471"/>
    <w:rsid w:val="005F4ADA"/>
    <w:rsid w:val="005F6A21"/>
    <w:rsid w:val="0060055D"/>
    <w:rsid w:val="006026CD"/>
    <w:rsid w:val="00602F8D"/>
    <w:rsid w:val="00603F4C"/>
    <w:rsid w:val="006052CA"/>
    <w:rsid w:val="00605AAC"/>
    <w:rsid w:val="006073F1"/>
    <w:rsid w:val="00607B0F"/>
    <w:rsid w:val="00607CDB"/>
    <w:rsid w:val="0061102C"/>
    <w:rsid w:val="00611880"/>
    <w:rsid w:val="00612531"/>
    <w:rsid w:val="006129A4"/>
    <w:rsid w:val="00614906"/>
    <w:rsid w:val="006150B1"/>
    <w:rsid w:val="0061555E"/>
    <w:rsid w:val="00621A59"/>
    <w:rsid w:val="0062479E"/>
    <w:rsid w:val="00624F8E"/>
    <w:rsid w:val="006266D9"/>
    <w:rsid w:val="00633AC5"/>
    <w:rsid w:val="0063564D"/>
    <w:rsid w:val="006363C3"/>
    <w:rsid w:val="006367A0"/>
    <w:rsid w:val="00637F3D"/>
    <w:rsid w:val="0064255D"/>
    <w:rsid w:val="006428CA"/>
    <w:rsid w:val="0064375E"/>
    <w:rsid w:val="00644387"/>
    <w:rsid w:val="00644B6E"/>
    <w:rsid w:val="00645652"/>
    <w:rsid w:val="006458A2"/>
    <w:rsid w:val="00647B08"/>
    <w:rsid w:val="00650B63"/>
    <w:rsid w:val="00655FFA"/>
    <w:rsid w:val="0066092B"/>
    <w:rsid w:val="00660AF3"/>
    <w:rsid w:val="00661793"/>
    <w:rsid w:val="00661DA7"/>
    <w:rsid w:val="006633E3"/>
    <w:rsid w:val="00665C3C"/>
    <w:rsid w:val="0067038A"/>
    <w:rsid w:val="0067076C"/>
    <w:rsid w:val="00673EAB"/>
    <w:rsid w:val="00676D1A"/>
    <w:rsid w:val="0068034C"/>
    <w:rsid w:val="0068129E"/>
    <w:rsid w:val="006815FB"/>
    <w:rsid w:val="00682DE1"/>
    <w:rsid w:val="00684996"/>
    <w:rsid w:val="00686078"/>
    <w:rsid w:val="0068649E"/>
    <w:rsid w:val="0068761C"/>
    <w:rsid w:val="006877FF"/>
    <w:rsid w:val="00687F54"/>
    <w:rsid w:val="00690209"/>
    <w:rsid w:val="00693537"/>
    <w:rsid w:val="00697089"/>
    <w:rsid w:val="006A070B"/>
    <w:rsid w:val="006A0F47"/>
    <w:rsid w:val="006A15C9"/>
    <w:rsid w:val="006A4685"/>
    <w:rsid w:val="006A5572"/>
    <w:rsid w:val="006A5EAF"/>
    <w:rsid w:val="006A68D8"/>
    <w:rsid w:val="006A6D41"/>
    <w:rsid w:val="006A7D8E"/>
    <w:rsid w:val="006B0181"/>
    <w:rsid w:val="006B1A95"/>
    <w:rsid w:val="006B1BF1"/>
    <w:rsid w:val="006B3E40"/>
    <w:rsid w:val="006B3E76"/>
    <w:rsid w:val="006B5756"/>
    <w:rsid w:val="006B6C39"/>
    <w:rsid w:val="006B77DB"/>
    <w:rsid w:val="006B79DD"/>
    <w:rsid w:val="006C0BD2"/>
    <w:rsid w:val="006C0DC0"/>
    <w:rsid w:val="006C12C9"/>
    <w:rsid w:val="006C35FB"/>
    <w:rsid w:val="006C4832"/>
    <w:rsid w:val="006C5A3D"/>
    <w:rsid w:val="006C7898"/>
    <w:rsid w:val="006C7C75"/>
    <w:rsid w:val="006D05F4"/>
    <w:rsid w:val="006D10D6"/>
    <w:rsid w:val="006D2F6B"/>
    <w:rsid w:val="006D3D5E"/>
    <w:rsid w:val="006D456A"/>
    <w:rsid w:val="006D5256"/>
    <w:rsid w:val="006D5E21"/>
    <w:rsid w:val="006E0335"/>
    <w:rsid w:val="006E0E17"/>
    <w:rsid w:val="006E2B5D"/>
    <w:rsid w:val="006E305E"/>
    <w:rsid w:val="006E4929"/>
    <w:rsid w:val="006E5102"/>
    <w:rsid w:val="006E6AFB"/>
    <w:rsid w:val="006F1E0E"/>
    <w:rsid w:val="006F43D9"/>
    <w:rsid w:val="006F4DB6"/>
    <w:rsid w:val="006F4E23"/>
    <w:rsid w:val="006F5836"/>
    <w:rsid w:val="006F59BA"/>
    <w:rsid w:val="006F5B51"/>
    <w:rsid w:val="007004E0"/>
    <w:rsid w:val="0070412A"/>
    <w:rsid w:val="007068FD"/>
    <w:rsid w:val="00713230"/>
    <w:rsid w:val="007136F5"/>
    <w:rsid w:val="00713EA9"/>
    <w:rsid w:val="007204EE"/>
    <w:rsid w:val="0072180B"/>
    <w:rsid w:val="007219CC"/>
    <w:rsid w:val="00723753"/>
    <w:rsid w:val="0072540B"/>
    <w:rsid w:val="00726337"/>
    <w:rsid w:val="00726A09"/>
    <w:rsid w:val="00727597"/>
    <w:rsid w:val="00727DE5"/>
    <w:rsid w:val="007329D0"/>
    <w:rsid w:val="00733B39"/>
    <w:rsid w:val="00735046"/>
    <w:rsid w:val="007442DF"/>
    <w:rsid w:val="007447EC"/>
    <w:rsid w:val="00745F18"/>
    <w:rsid w:val="00746568"/>
    <w:rsid w:val="00746879"/>
    <w:rsid w:val="00750248"/>
    <w:rsid w:val="007503C6"/>
    <w:rsid w:val="00750458"/>
    <w:rsid w:val="00750F25"/>
    <w:rsid w:val="007533BC"/>
    <w:rsid w:val="00754581"/>
    <w:rsid w:val="00754F4E"/>
    <w:rsid w:val="007579DF"/>
    <w:rsid w:val="007617AB"/>
    <w:rsid w:val="00762187"/>
    <w:rsid w:val="0076289B"/>
    <w:rsid w:val="007628EC"/>
    <w:rsid w:val="007633B0"/>
    <w:rsid w:val="00763DF9"/>
    <w:rsid w:val="00766F07"/>
    <w:rsid w:val="00770035"/>
    <w:rsid w:val="00771DA4"/>
    <w:rsid w:val="00773ED4"/>
    <w:rsid w:val="007771C7"/>
    <w:rsid w:val="0078004C"/>
    <w:rsid w:val="00781E68"/>
    <w:rsid w:val="00785CA4"/>
    <w:rsid w:val="00786D2C"/>
    <w:rsid w:val="0079029D"/>
    <w:rsid w:val="00791491"/>
    <w:rsid w:val="007936D6"/>
    <w:rsid w:val="00795B4B"/>
    <w:rsid w:val="007975BB"/>
    <w:rsid w:val="007A0FCF"/>
    <w:rsid w:val="007A163F"/>
    <w:rsid w:val="007A5098"/>
    <w:rsid w:val="007A6A98"/>
    <w:rsid w:val="007A7E87"/>
    <w:rsid w:val="007B409A"/>
    <w:rsid w:val="007C08A4"/>
    <w:rsid w:val="007C2991"/>
    <w:rsid w:val="007C520E"/>
    <w:rsid w:val="007C64C7"/>
    <w:rsid w:val="007C6F3D"/>
    <w:rsid w:val="007C72C1"/>
    <w:rsid w:val="007D1AAB"/>
    <w:rsid w:val="007D1C80"/>
    <w:rsid w:val="007D2F1B"/>
    <w:rsid w:val="007D703F"/>
    <w:rsid w:val="007E0DE4"/>
    <w:rsid w:val="007E2375"/>
    <w:rsid w:val="007E289F"/>
    <w:rsid w:val="007E2AF0"/>
    <w:rsid w:val="007E3EB2"/>
    <w:rsid w:val="007E58D6"/>
    <w:rsid w:val="007E6573"/>
    <w:rsid w:val="007E7D50"/>
    <w:rsid w:val="007F2C49"/>
    <w:rsid w:val="007F2E97"/>
    <w:rsid w:val="007F35C3"/>
    <w:rsid w:val="007F5F8E"/>
    <w:rsid w:val="007F6C62"/>
    <w:rsid w:val="007F6CCA"/>
    <w:rsid w:val="00802441"/>
    <w:rsid w:val="00802B33"/>
    <w:rsid w:val="00803967"/>
    <w:rsid w:val="008044C1"/>
    <w:rsid w:val="00804A8C"/>
    <w:rsid w:val="0080591C"/>
    <w:rsid w:val="008060E8"/>
    <w:rsid w:val="0081156F"/>
    <w:rsid w:val="008116AF"/>
    <w:rsid w:val="00811FB1"/>
    <w:rsid w:val="008124BD"/>
    <w:rsid w:val="0081520E"/>
    <w:rsid w:val="00815765"/>
    <w:rsid w:val="0081637A"/>
    <w:rsid w:val="00817578"/>
    <w:rsid w:val="00820135"/>
    <w:rsid w:val="00823346"/>
    <w:rsid w:val="00827A00"/>
    <w:rsid w:val="008300E3"/>
    <w:rsid w:val="00833D2B"/>
    <w:rsid w:val="008356B6"/>
    <w:rsid w:val="00835D5A"/>
    <w:rsid w:val="008377A6"/>
    <w:rsid w:val="00837FBB"/>
    <w:rsid w:val="00840DEF"/>
    <w:rsid w:val="00842F09"/>
    <w:rsid w:val="00845649"/>
    <w:rsid w:val="008457F1"/>
    <w:rsid w:val="008470FA"/>
    <w:rsid w:val="00850193"/>
    <w:rsid w:val="00850A45"/>
    <w:rsid w:val="0085361B"/>
    <w:rsid w:val="0085363E"/>
    <w:rsid w:val="008561BD"/>
    <w:rsid w:val="008567A5"/>
    <w:rsid w:val="00856F82"/>
    <w:rsid w:val="008610ED"/>
    <w:rsid w:val="008614A8"/>
    <w:rsid w:val="00861B99"/>
    <w:rsid w:val="00862670"/>
    <w:rsid w:val="00863C35"/>
    <w:rsid w:val="00863CC0"/>
    <w:rsid w:val="00865DA6"/>
    <w:rsid w:val="0086656B"/>
    <w:rsid w:val="00870AF8"/>
    <w:rsid w:val="008719BA"/>
    <w:rsid w:val="00874706"/>
    <w:rsid w:val="008749C3"/>
    <w:rsid w:val="0087795C"/>
    <w:rsid w:val="00881706"/>
    <w:rsid w:val="0088214B"/>
    <w:rsid w:val="00882E0E"/>
    <w:rsid w:val="008842AA"/>
    <w:rsid w:val="00885396"/>
    <w:rsid w:val="00886BB9"/>
    <w:rsid w:val="00886BC6"/>
    <w:rsid w:val="00892A4B"/>
    <w:rsid w:val="00893111"/>
    <w:rsid w:val="008935D0"/>
    <w:rsid w:val="00895352"/>
    <w:rsid w:val="00896531"/>
    <w:rsid w:val="00897414"/>
    <w:rsid w:val="008A01E4"/>
    <w:rsid w:val="008A22C2"/>
    <w:rsid w:val="008A35EB"/>
    <w:rsid w:val="008A39EE"/>
    <w:rsid w:val="008A4360"/>
    <w:rsid w:val="008A6184"/>
    <w:rsid w:val="008A61A1"/>
    <w:rsid w:val="008B0579"/>
    <w:rsid w:val="008B5119"/>
    <w:rsid w:val="008B5212"/>
    <w:rsid w:val="008B7DF8"/>
    <w:rsid w:val="008C1F1A"/>
    <w:rsid w:val="008C287C"/>
    <w:rsid w:val="008C3285"/>
    <w:rsid w:val="008C3645"/>
    <w:rsid w:val="008C380C"/>
    <w:rsid w:val="008C461A"/>
    <w:rsid w:val="008C58D2"/>
    <w:rsid w:val="008C5ECE"/>
    <w:rsid w:val="008C6756"/>
    <w:rsid w:val="008C6CC5"/>
    <w:rsid w:val="008C74C4"/>
    <w:rsid w:val="008D23FC"/>
    <w:rsid w:val="008D3995"/>
    <w:rsid w:val="008D530F"/>
    <w:rsid w:val="008D5FE4"/>
    <w:rsid w:val="008D6E2F"/>
    <w:rsid w:val="008D7DF8"/>
    <w:rsid w:val="008E5C0C"/>
    <w:rsid w:val="008E6939"/>
    <w:rsid w:val="008E6FCF"/>
    <w:rsid w:val="008F084C"/>
    <w:rsid w:val="008F1982"/>
    <w:rsid w:val="008F2E00"/>
    <w:rsid w:val="008F3FD0"/>
    <w:rsid w:val="008F4E49"/>
    <w:rsid w:val="008F5963"/>
    <w:rsid w:val="008F6820"/>
    <w:rsid w:val="009025E6"/>
    <w:rsid w:val="00902C36"/>
    <w:rsid w:val="009047C7"/>
    <w:rsid w:val="00906DB9"/>
    <w:rsid w:val="00907EAB"/>
    <w:rsid w:val="0091035D"/>
    <w:rsid w:val="00910B7A"/>
    <w:rsid w:val="00910E64"/>
    <w:rsid w:val="0091161D"/>
    <w:rsid w:val="009148AA"/>
    <w:rsid w:val="009157E3"/>
    <w:rsid w:val="0091598F"/>
    <w:rsid w:val="00915FC8"/>
    <w:rsid w:val="0092108F"/>
    <w:rsid w:val="009214F5"/>
    <w:rsid w:val="00923B22"/>
    <w:rsid w:val="009252A2"/>
    <w:rsid w:val="00925C80"/>
    <w:rsid w:val="00926229"/>
    <w:rsid w:val="0092658F"/>
    <w:rsid w:val="00926795"/>
    <w:rsid w:val="0092713A"/>
    <w:rsid w:val="0093147D"/>
    <w:rsid w:val="009316F1"/>
    <w:rsid w:val="00931733"/>
    <w:rsid w:val="00932C97"/>
    <w:rsid w:val="009340DE"/>
    <w:rsid w:val="00935FBE"/>
    <w:rsid w:val="0093715E"/>
    <w:rsid w:val="009377D0"/>
    <w:rsid w:val="0094036D"/>
    <w:rsid w:val="009419F5"/>
    <w:rsid w:val="00943E7A"/>
    <w:rsid w:val="00944679"/>
    <w:rsid w:val="00944DEC"/>
    <w:rsid w:val="0094647A"/>
    <w:rsid w:val="00946C45"/>
    <w:rsid w:val="00947240"/>
    <w:rsid w:val="009507DF"/>
    <w:rsid w:val="00951AFF"/>
    <w:rsid w:val="00960F8E"/>
    <w:rsid w:val="009623F8"/>
    <w:rsid w:val="00962604"/>
    <w:rsid w:val="00962BD7"/>
    <w:rsid w:val="00963B77"/>
    <w:rsid w:val="0096735C"/>
    <w:rsid w:val="00967790"/>
    <w:rsid w:val="00970E5F"/>
    <w:rsid w:val="00972AD1"/>
    <w:rsid w:val="00972B39"/>
    <w:rsid w:val="0097437D"/>
    <w:rsid w:val="00974766"/>
    <w:rsid w:val="009769A5"/>
    <w:rsid w:val="009805C0"/>
    <w:rsid w:val="009840A5"/>
    <w:rsid w:val="00985196"/>
    <w:rsid w:val="00985DEB"/>
    <w:rsid w:val="00986885"/>
    <w:rsid w:val="009869EE"/>
    <w:rsid w:val="00987ED0"/>
    <w:rsid w:val="00990A1F"/>
    <w:rsid w:val="00990FAB"/>
    <w:rsid w:val="00991BF3"/>
    <w:rsid w:val="009923A9"/>
    <w:rsid w:val="00993BD5"/>
    <w:rsid w:val="00994239"/>
    <w:rsid w:val="009952D4"/>
    <w:rsid w:val="009A0574"/>
    <w:rsid w:val="009A0660"/>
    <w:rsid w:val="009A1829"/>
    <w:rsid w:val="009A1AF0"/>
    <w:rsid w:val="009A2336"/>
    <w:rsid w:val="009A2DB4"/>
    <w:rsid w:val="009A49E0"/>
    <w:rsid w:val="009A5766"/>
    <w:rsid w:val="009A59DB"/>
    <w:rsid w:val="009A6951"/>
    <w:rsid w:val="009A7E8E"/>
    <w:rsid w:val="009B311F"/>
    <w:rsid w:val="009B6847"/>
    <w:rsid w:val="009B772F"/>
    <w:rsid w:val="009C27A3"/>
    <w:rsid w:val="009C2C17"/>
    <w:rsid w:val="009C6E8C"/>
    <w:rsid w:val="009C7C82"/>
    <w:rsid w:val="009D25FA"/>
    <w:rsid w:val="009D441F"/>
    <w:rsid w:val="009D7C65"/>
    <w:rsid w:val="009E0876"/>
    <w:rsid w:val="009E091C"/>
    <w:rsid w:val="009E1355"/>
    <w:rsid w:val="009E14D7"/>
    <w:rsid w:val="009E241F"/>
    <w:rsid w:val="009E3980"/>
    <w:rsid w:val="009E3CA9"/>
    <w:rsid w:val="009E590A"/>
    <w:rsid w:val="009F0AD2"/>
    <w:rsid w:val="009F2AC4"/>
    <w:rsid w:val="009F5AEB"/>
    <w:rsid w:val="009F63A3"/>
    <w:rsid w:val="00A0056B"/>
    <w:rsid w:val="00A01064"/>
    <w:rsid w:val="00A0116B"/>
    <w:rsid w:val="00A03AD8"/>
    <w:rsid w:val="00A0794A"/>
    <w:rsid w:val="00A102BC"/>
    <w:rsid w:val="00A10809"/>
    <w:rsid w:val="00A10DE4"/>
    <w:rsid w:val="00A11281"/>
    <w:rsid w:val="00A121C0"/>
    <w:rsid w:val="00A14CF0"/>
    <w:rsid w:val="00A14D82"/>
    <w:rsid w:val="00A17D1A"/>
    <w:rsid w:val="00A17F00"/>
    <w:rsid w:val="00A20E0E"/>
    <w:rsid w:val="00A21533"/>
    <w:rsid w:val="00A215E0"/>
    <w:rsid w:val="00A24E9C"/>
    <w:rsid w:val="00A254E3"/>
    <w:rsid w:val="00A26291"/>
    <w:rsid w:val="00A26612"/>
    <w:rsid w:val="00A2771A"/>
    <w:rsid w:val="00A3086F"/>
    <w:rsid w:val="00A351E7"/>
    <w:rsid w:val="00A3603B"/>
    <w:rsid w:val="00A37103"/>
    <w:rsid w:val="00A374BA"/>
    <w:rsid w:val="00A40BF7"/>
    <w:rsid w:val="00A419E6"/>
    <w:rsid w:val="00A4281F"/>
    <w:rsid w:val="00A43AA5"/>
    <w:rsid w:val="00A44202"/>
    <w:rsid w:val="00A462DD"/>
    <w:rsid w:val="00A53DD2"/>
    <w:rsid w:val="00A55CCD"/>
    <w:rsid w:val="00A5606F"/>
    <w:rsid w:val="00A560D5"/>
    <w:rsid w:val="00A563BA"/>
    <w:rsid w:val="00A5738F"/>
    <w:rsid w:val="00A60CC0"/>
    <w:rsid w:val="00A617C2"/>
    <w:rsid w:val="00A62362"/>
    <w:rsid w:val="00A62B83"/>
    <w:rsid w:val="00A639CD"/>
    <w:rsid w:val="00A646C6"/>
    <w:rsid w:val="00A65BFC"/>
    <w:rsid w:val="00A667ED"/>
    <w:rsid w:val="00A669B8"/>
    <w:rsid w:val="00A710A9"/>
    <w:rsid w:val="00A727FD"/>
    <w:rsid w:val="00A73204"/>
    <w:rsid w:val="00A75B8A"/>
    <w:rsid w:val="00A76184"/>
    <w:rsid w:val="00A80137"/>
    <w:rsid w:val="00A8280B"/>
    <w:rsid w:val="00A829C2"/>
    <w:rsid w:val="00A82CA2"/>
    <w:rsid w:val="00A86E5F"/>
    <w:rsid w:val="00A916AA"/>
    <w:rsid w:val="00A91B50"/>
    <w:rsid w:val="00A9473F"/>
    <w:rsid w:val="00A96089"/>
    <w:rsid w:val="00AA2F86"/>
    <w:rsid w:val="00AA30FC"/>
    <w:rsid w:val="00AA3CBD"/>
    <w:rsid w:val="00AA563A"/>
    <w:rsid w:val="00AA6894"/>
    <w:rsid w:val="00AB191C"/>
    <w:rsid w:val="00AB71C8"/>
    <w:rsid w:val="00AB7FDD"/>
    <w:rsid w:val="00AC1BF9"/>
    <w:rsid w:val="00AC2D33"/>
    <w:rsid w:val="00AD21A0"/>
    <w:rsid w:val="00AD53BC"/>
    <w:rsid w:val="00AE1D86"/>
    <w:rsid w:val="00AE5018"/>
    <w:rsid w:val="00AE686B"/>
    <w:rsid w:val="00AE6AAD"/>
    <w:rsid w:val="00AE7BE1"/>
    <w:rsid w:val="00AF07C8"/>
    <w:rsid w:val="00AF147A"/>
    <w:rsid w:val="00AF5D91"/>
    <w:rsid w:val="00AF7A37"/>
    <w:rsid w:val="00B03C14"/>
    <w:rsid w:val="00B0459E"/>
    <w:rsid w:val="00B058BA"/>
    <w:rsid w:val="00B07E96"/>
    <w:rsid w:val="00B105DC"/>
    <w:rsid w:val="00B10C5C"/>
    <w:rsid w:val="00B11072"/>
    <w:rsid w:val="00B11163"/>
    <w:rsid w:val="00B13B60"/>
    <w:rsid w:val="00B15C27"/>
    <w:rsid w:val="00B16FFF"/>
    <w:rsid w:val="00B221BE"/>
    <w:rsid w:val="00B23C82"/>
    <w:rsid w:val="00B2470D"/>
    <w:rsid w:val="00B24B87"/>
    <w:rsid w:val="00B25838"/>
    <w:rsid w:val="00B26D98"/>
    <w:rsid w:val="00B30FAC"/>
    <w:rsid w:val="00B31520"/>
    <w:rsid w:val="00B31BE1"/>
    <w:rsid w:val="00B31F59"/>
    <w:rsid w:val="00B333ED"/>
    <w:rsid w:val="00B34F67"/>
    <w:rsid w:val="00B367C6"/>
    <w:rsid w:val="00B40C39"/>
    <w:rsid w:val="00B43511"/>
    <w:rsid w:val="00B43FFB"/>
    <w:rsid w:val="00B4574F"/>
    <w:rsid w:val="00B4588A"/>
    <w:rsid w:val="00B50ECA"/>
    <w:rsid w:val="00B54CEF"/>
    <w:rsid w:val="00B569D2"/>
    <w:rsid w:val="00B57060"/>
    <w:rsid w:val="00B627D0"/>
    <w:rsid w:val="00B62FA0"/>
    <w:rsid w:val="00B63047"/>
    <w:rsid w:val="00B64617"/>
    <w:rsid w:val="00B6463D"/>
    <w:rsid w:val="00B70FB7"/>
    <w:rsid w:val="00B7441E"/>
    <w:rsid w:val="00B817FD"/>
    <w:rsid w:val="00B84EF7"/>
    <w:rsid w:val="00B86EC7"/>
    <w:rsid w:val="00B9502E"/>
    <w:rsid w:val="00B9690B"/>
    <w:rsid w:val="00B96A05"/>
    <w:rsid w:val="00B96CD3"/>
    <w:rsid w:val="00B96F28"/>
    <w:rsid w:val="00B97997"/>
    <w:rsid w:val="00BA00D5"/>
    <w:rsid w:val="00BA1FC7"/>
    <w:rsid w:val="00BB30C8"/>
    <w:rsid w:val="00BB4B23"/>
    <w:rsid w:val="00BC34D6"/>
    <w:rsid w:val="00BC5883"/>
    <w:rsid w:val="00BD0E4A"/>
    <w:rsid w:val="00BD25BE"/>
    <w:rsid w:val="00BD262B"/>
    <w:rsid w:val="00BD2942"/>
    <w:rsid w:val="00BD467E"/>
    <w:rsid w:val="00BD758E"/>
    <w:rsid w:val="00BD77E1"/>
    <w:rsid w:val="00BD7B6E"/>
    <w:rsid w:val="00BE0BAF"/>
    <w:rsid w:val="00BE16F8"/>
    <w:rsid w:val="00BE4B8E"/>
    <w:rsid w:val="00BE5CD9"/>
    <w:rsid w:val="00BE7F16"/>
    <w:rsid w:val="00BF0BB7"/>
    <w:rsid w:val="00BF17FB"/>
    <w:rsid w:val="00BF2307"/>
    <w:rsid w:val="00BF23A2"/>
    <w:rsid w:val="00BF282C"/>
    <w:rsid w:val="00BF37B0"/>
    <w:rsid w:val="00BF5AB2"/>
    <w:rsid w:val="00C02767"/>
    <w:rsid w:val="00C03F17"/>
    <w:rsid w:val="00C04E2F"/>
    <w:rsid w:val="00C05E89"/>
    <w:rsid w:val="00C07D2B"/>
    <w:rsid w:val="00C14552"/>
    <w:rsid w:val="00C1570A"/>
    <w:rsid w:val="00C22B23"/>
    <w:rsid w:val="00C2318C"/>
    <w:rsid w:val="00C232E5"/>
    <w:rsid w:val="00C23A22"/>
    <w:rsid w:val="00C23D56"/>
    <w:rsid w:val="00C31ACD"/>
    <w:rsid w:val="00C32207"/>
    <w:rsid w:val="00C33A79"/>
    <w:rsid w:val="00C40A8E"/>
    <w:rsid w:val="00C428FC"/>
    <w:rsid w:val="00C439D9"/>
    <w:rsid w:val="00C43BF0"/>
    <w:rsid w:val="00C45B30"/>
    <w:rsid w:val="00C46312"/>
    <w:rsid w:val="00C47940"/>
    <w:rsid w:val="00C47C16"/>
    <w:rsid w:val="00C5160B"/>
    <w:rsid w:val="00C5173F"/>
    <w:rsid w:val="00C51B28"/>
    <w:rsid w:val="00C55A40"/>
    <w:rsid w:val="00C56AD5"/>
    <w:rsid w:val="00C56BDE"/>
    <w:rsid w:val="00C57051"/>
    <w:rsid w:val="00C57201"/>
    <w:rsid w:val="00C578A0"/>
    <w:rsid w:val="00C60442"/>
    <w:rsid w:val="00C612E4"/>
    <w:rsid w:val="00C6181D"/>
    <w:rsid w:val="00C64918"/>
    <w:rsid w:val="00C73515"/>
    <w:rsid w:val="00C7533C"/>
    <w:rsid w:val="00C75B78"/>
    <w:rsid w:val="00C76F7D"/>
    <w:rsid w:val="00C76FFC"/>
    <w:rsid w:val="00C80C61"/>
    <w:rsid w:val="00C8251D"/>
    <w:rsid w:val="00C82E33"/>
    <w:rsid w:val="00C83F72"/>
    <w:rsid w:val="00C842B4"/>
    <w:rsid w:val="00C91027"/>
    <w:rsid w:val="00C92BC0"/>
    <w:rsid w:val="00C94C67"/>
    <w:rsid w:val="00C9780E"/>
    <w:rsid w:val="00CA0372"/>
    <w:rsid w:val="00CA2B21"/>
    <w:rsid w:val="00CB035C"/>
    <w:rsid w:val="00CB093F"/>
    <w:rsid w:val="00CB195E"/>
    <w:rsid w:val="00CB1A11"/>
    <w:rsid w:val="00CB4DD0"/>
    <w:rsid w:val="00CC3D44"/>
    <w:rsid w:val="00CC6505"/>
    <w:rsid w:val="00CC7DD4"/>
    <w:rsid w:val="00CD08FB"/>
    <w:rsid w:val="00CD14CC"/>
    <w:rsid w:val="00CD1E96"/>
    <w:rsid w:val="00CD27CB"/>
    <w:rsid w:val="00CD2DB7"/>
    <w:rsid w:val="00CD486E"/>
    <w:rsid w:val="00CE5175"/>
    <w:rsid w:val="00CE5EC5"/>
    <w:rsid w:val="00CE63B8"/>
    <w:rsid w:val="00CE69B6"/>
    <w:rsid w:val="00CE7A0B"/>
    <w:rsid w:val="00CF5DC1"/>
    <w:rsid w:val="00CF5F0D"/>
    <w:rsid w:val="00CF6325"/>
    <w:rsid w:val="00CF6DA9"/>
    <w:rsid w:val="00CF7FD2"/>
    <w:rsid w:val="00D00905"/>
    <w:rsid w:val="00D024DD"/>
    <w:rsid w:val="00D03FFD"/>
    <w:rsid w:val="00D051A6"/>
    <w:rsid w:val="00D05C32"/>
    <w:rsid w:val="00D10829"/>
    <w:rsid w:val="00D13DEF"/>
    <w:rsid w:val="00D14F6B"/>
    <w:rsid w:val="00D15C72"/>
    <w:rsid w:val="00D22D40"/>
    <w:rsid w:val="00D2387D"/>
    <w:rsid w:val="00D23F31"/>
    <w:rsid w:val="00D25055"/>
    <w:rsid w:val="00D254C4"/>
    <w:rsid w:val="00D261D8"/>
    <w:rsid w:val="00D33B6D"/>
    <w:rsid w:val="00D357EC"/>
    <w:rsid w:val="00D35857"/>
    <w:rsid w:val="00D42C3B"/>
    <w:rsid w:val="00D42F11"/>
    <w:rsid w:val="00D4413B"/>
    <w:rsid w:val="00D44B0F"/>
    <w:rsid w:val="00D4632A"/>
    <w:rsid w:val="00D50FB7"/>
    <w:rsid w:val="00D523FE"/>
    <w:rsid w:val="00D53A64"/>
    <w:rsid w:val="00D55312"/>
    <w:rsid w:val="00D55E38"/>
    <w:rsid w:val="00D56399"/>
    <w:rsid w:val="00D608B3"/>
    <w:rsid w:val="00D610CD"/>
    <w:rsid w:val="00D61B72"/>
    <w:rsid w:val="00D62EC2"/>
    <w:rsid w:val="00D63913"/>
    <w:rsid w:val="00D65D17"/>
    <w:rsid w:val="00D65E02"/>
    <w:rsid w:val="00D737F4"/>
    <w:rsid w:val="00D75E35"/>
    <w:rsid w:val="00D771E1"/>
    <w:rsid w:val="00D77340"/>
    <w:rsid w:val="00D7747C"/>
    <w:rsid w:val="00D8716F"/>
    <w:rsid w:val="00D9289F"/>
    <w:rsid w:val="00D940F1"/>
    <w:rsid w:val="00D9662F"/>
    <w:rsid w:val="00D972CF"/>
    <w:rsid w:val="00D97653"/>
    <w:rsid w:val="00DA45F4"/>
    <w:rsid w:val="00DA466B"/>
    <w:rsid w:val="00DA5B1C"/>
    <w:rsid w:val="00DA6397"/>
    <w:rsid w:val="00DA7D1D"/>
    <w:rsid w:val="00DB17AB"/>
    <w:rsid w:val="00DB4C9D"/>
    <w:rsid w:val="00DB6AF0"/>
    <w:rsid w:val="00DB6BD6"/>
    <w:rsid w:val="00DB7850"/>
    <w:rsid w:val="00DC1B8D"/>
    <w:rsid w:val="00DC1E9A"/>
    <w:rsid w:val="00DC3A2D"/>
    <w:rsid w:val="00DC42E1"/>
    <w:rsid w:val="00DC561B"/>
    <w:rsid w:val="00DC6513"/>
    <w:rsid w:val="00DC65FB"/>
    <w:rsid w:val="00DC7145"/>
    <w:rsid w:val="00DC75B2"/>
    <w:rsid w:val="00DC7610"/>
    <w:rsid w:val="00DD03E3"/>
    <w:rsid w:val="00DD4D3D"/>
    <w:rsid w:val="00DD4EC1"/>
    <w:rsid w:val="00DD5350"/>
    <w:rsid w:val="00DD5C43"/>
    <w:rsid w:val="00DD784F"/>
    <w:rsid w:val="00DD7D8B"/>
    <w:rsid w:val="00DE030B"/>
    <w:rsid w:val="00DE3D91"/>
    <w:rsid w:val="00DE4132"/>
    <w:rsid w:val="00DE7F7B"/>
    <w:rsid w:val="00DF1936"/>
    <w:rsid w:val="00DF31D0"/>
    <w:rsid w:val="00DF79A0"/>
    <w:rsid w:val="00E01BC8"/>
    <w:rsid w:val="00E0379A"/>
    <w:rsid w:val="00E044C8"/>
    <w:rsid w:val="00E05A99"/>
    <w:rsid w:val="00E05B4C"/>
    <w:rsid w:val="00E07D26"/>
    <w:rsid w:val="00E13423"/>
    <w:rsid w:val="00E14ED0"/>
    <w:rsid w:val="00E15CCA"/>
    <w:rsid w:val="00E179AC"/>
    <w:rsid w:val="00E204CD"/>
    <w:rsid w:val="00E21EF7"/>
    <w:rsid w:val="00E24E1A"/>
    <w:rsid w:val="00E256C9"/>
    <w:rsid w:val="00E2580B"/>
    <w:rsid w:val="00E25BEC"/>
    <w:rsid w:val="00E31572"/>
    <w:rsid w:val="00E31E68"/>
    <w:rsid w:val="00E3239D"/>
    <w:rsid w:val="00E33C12"/>
    <w:rsid w:val="00E34141"/>
    <w:rsid w:val="00E3569D"/>
    <w:rsid w:val="00E40BA7"/>
    <w:rsid w:val="00E41212"/>
    <w:rsid w:val="00E41A1A"/>
    <w:rsid w:val="00E46020"/>
    <w:rsid w:val="00E465B8"/>
    <w:rsid w:val="00E4677E"/>
    <w:rsid w:val="00E614D6"/>
    <w:rsid w:val="00E61B65"/>
    <w:rsid w:val="00E6212B"/>
    <w:rsid w:val="00E62DC2"/>
    <w:rsid w:val="00E62EC5"/>
    <w:rsid w:val="00E63DD9"/>
    <w:rsid w:val="00E64816"/>
    <w:rsid w:val="00E66CB7"/>
    <w:rsid w:val="00E72EAE"/>
    <w:rsid w:val="00E73776"/>
    <w:rsid w:val="00E73B64"/>
    <w:rsid w:val="00E73E31"/>
    <w:rsid w:val="00E77E46"/>
    <w:rsid w:val="00E802E5"/>
    <w:rsid w:val="00E8220D"/>
    <w:rsid w:val="00E84535"/>
    <w:rsid w:val="00E861B9"/>
    <w:rsid w:val="00E86506"/>
    <w:rsid w:val="00E87FD2"/>
    <w:rsid w:val="00E90DD6"/>
    <w:rsid w:val="00E93F88"/>
    <w:rsid w:val="00E953D3"/>
    <w:rsid w:val="00E956BA"/>
    <w:rsid w:val="00E96BFC"/>
    <w:rsid w:val="00E97298"/>
    <w:rsid w:val="00EA2142"/>
    <w:rsid w:val="00EA2F2E"/>
    <w:rsid w:val="00EA5562"/>
    <w:rsid w:val="00EA6775"/>
    <w:rsid w:val="00EB0073"/>
    <w:rsid w:val="00EB1E4B"/>
    <w:rsid w:val="00EB35A9"/>
    <w:rsid w:val="00EB39C1"/>
    <w:rsid w:val="00EB5C3A"/>
    <w:rsid w:val="00EB609C"/>
    <w:rsid w:val="00EC066F"/>
    <w:rsid w:val="00EC4AB1"/>
    <w:rsid w:val="00ED2031"/>
    <w:rsid w:val="00ED3AB3"/>
    <w:rsid w:val="00ED40E0"/>
    <w:rsid w:val="00ED440D"/>
    <w:rsid w:val="00ED45C3"/>
    <w:rsid w:val="00EE2CB5"/>
    <w:rsid w:val="00EE3893"/>
    <w:rsid w:val="00EE5F46"/>
    <w:rsid w:val="00EF579E"/>
    <w:rsid w:val="00EF5D5A"/>
    <w:rsid w:val="00EF6723"/>
    <w:rsid w:val="00EF7335"/>
    <w:rsid w:val="00EF752D"/>
    <w:rsid w:val="00F00320"/>
    <w:rsid w:val="00F00553"/>
    <w:rsid w:val="00F018D7"/>
    <w:rsid w:val="00F05543"/>
    <w:rsid w:val="00F0661D"/>
    <w:rsid w:val="00F067E0"/>
    <w:rsid w:val="00F0709F"/>
    <w:rsid w:val="00F13527"/>
    <w:rsid w:val="00F1571E"/>
    <w:rsid w:val="00F16EFE"/>
    <w:rsid w:val="00F17154"/>
    <w:rsid w:val="00F226A1"/>
    <w:rsid w:val="00F262DE"/>
    <w:rsid w:val="00F30CB6"/>
    <w:rsid w:val="00F30FA1"/>
    <w:rsid w:val="00F32A99"/>
    <w:rsid w:val="00F3507C"/>
    <w:rsid w:val="00F358EA"/>
    <w:rsid w:val="00F4195A"/>
    <w:rsid w:val="00F432FE"/>
    <w:rsid w:val="00F43D03"/>
    <w:rsid w:val="00F473BE"/>
    <w:rsid w:val="00F4755C"/>
    <w:rsid w:val="00F5002D"/>
    <w:rsid w:val="00F50CFB"/>
    <w:rsid w:val="00F55B16"/>
    <w:rsid w:val="00F569F9"/>
    <w:rsid w:val="00F600B5"/>
    <w:rsid w:val="00F601D4"/>
    <w:rsid w:val="00F64776"/>
    <w:rsid w:val="00F64E10"/>
    <w:rsid w:val="00F6624B"/>
    <w:rsid w:val="00F66DF6"/>
    <w:rsid w:val="00F67F0F"/>
    <w:rsid w:val="00F702D8"/>
    <w:rsid w:val="00F70518"/>
    <w:rsid w:val="00F70691"/>
    <w:rsid w:val="00F70AD3"/>
    <w:rsid w:val="00F7272F"/>
    <w:rsid w:val="00F72E02"/>
    <w:rsid w:val="00F7327C"/>
    <w:rsid w:val="00F7463F"/>
    <w:rsid w:val="00F75816"/>
    <w:rsid w:val="00F8685B"/>
    <w:rsid w:val="00F912C3"/>
    <w:rsid w:val="00F927C7"/>
    <w:rsid w:val="00F93143"/>
    <w:rsid w:val="00F944EF"/>
    <w:rsid w:val="00F94832"/>
    <w:rsid w:val="00FA2EC6"/>
    <w:rsid w:val="00FA3162"/>
    <w:rsid w:val="00FA452D"/>
    <w:rsid w:val="00FA60C8"/>
    <w:rsid w:val="00FA7629"/>
    <w:rsid w:val="00FB050B"/>
    <w:rsid w:val="00FB0D83"/>
    <w:rsid w:val="00FB267E"/>
    <w:rsid w:val="00FB3E0B"/>
    <w:rsid w:val="00FB5E0A"/>
    <w:rsid w:val="00FB701B"/>
    <w:rsid w:val="00FC15C8"/>
    <w:rsid w:val="00FC2E24"/>
    <w:rsid w:val="00FC31E5"/>
    <w:rsid w:val="00FC3F09"/>
    <w:rsid w:val="00FC47FB"/>
    <w:rsid w:val="00FC73A2"/>
    <w:rsid w:val="00FD2062"/>
    <w:rsid w:val="00FD22E5"/>
    <w:rsid w:val="00FD30D1"/>
    <w:rsid w:val="00FD443E"/>
    <w:rsid w:val="00FD557F"/>
    <w:rsid w:val="00FD754D"/>
    <w:rsid w:val="00FE442C"/>
    <w:rsid w:val="00FE5ACB"/>
    <w:rsid w:val="00FE71EB"/>
    <w:rsid w:val="00FF00C5"/>
    <w:rsid w:val="00FF248F"/>
    <w:rsid w:val="00FF68B9"/>
    <w:rsid w:val="00FF68F8"/>
    <w:rsid w:val="01C52B8A"/>
    <w:rsid w:val="01F90D59"/>
    <w:rsid w:val="02264A9E"/>
    <w:rsid w:val="02D635BB"/>
    <w:rsid w:val="034C15CD"/>
    <w:rsid w:val="05BE6220"/>
    <w:rsid w:val="06933491"/>
    <w:rsid w:val="06B95EEE"/>
    <w:rsid w:val="06C735AB"/>
    <w:rsid w:val="083B64E6"/>
    <w:rsid w:val="09C90B80"/>
    <w:rsid w:val="0A4C13DB"/>
    <w:rsid w:val="0A570253"/>
    <w:rsid w:val="0A7C21D5"/>
    <w:rsid w:val="0B3D2A54"/>
    <w:rsid w:val="0BEC7EA0"/>
    <w:rsid w:val="0C192F2A"/>
    <w:rsid w:val="0D436AAA"/>
    <w:rsid w:val="0D8616A1"/>
    <w:rsid w:val="0F3EAE38"/>
    <w:rsid w:val="0F577BE7"/>
    <w:rsid w:val="0FDD0C5A"/>
    <w:rsid w:val="11041FA5"/>
    <w:rsid w:val="114625A2"/>
    <w:rsid w:val="117017D8"/>
    <w:rsid w:val="117A2ECF"/>
    <w:rsid w:val="11A23C46"/>
    <w:rsid w:val="128516FD"/>
    <w:rsid w:val="13867403"/>
    <w:rsid w:val="138E3AD9"/>
    <w:rsid w:val="13DD5A3C"/>
    <w:rsid w:val="14D341AB"/>
    <w:rsid w:val="14FA35A4"/>
    <w:rsid w:val="14FFE20E"/>
    <w:rsid w:val="156F5D8D"/>
    <w:rsid w:val="175A6951"/>
    <w:rsid w:val="17D80E5D"/>
    <w:rsid w:val="18863040"/>
    <w:rsid w:val="18AE550D"/>
    <w:rsid w:val="19420B64"/>
    <w:rsid w:val="19E86F78"/>
    <w:rsid w:val="19FE479F"/>
    <w:rsid w:val="1BCB648E"/>
    <w:rsid w:val="1C6D218D"/>
    <w:rsid w:val="1E570D28"/>
    <w:rsid w:val="1FB385F9"/>
    <w:rsid w:val="1FE91B92"/>
    <w:rsid w:val="257F5C9F"/>
    <w:rsid w:val="25956566"/>
    <w:rsid w:val="25D1396C"/>
    <w:rsid w:val="29C15017"/>
    <w:rsid w:val="2A8D465A"/>
    <w:rsid w:val="2C801BC6"/>
    <w:rsid w:val="2D9C28CC"/>
    <w:rsid w:val="309F0C1A"/>
    <w:rsid w:val="31234BCD"/>
    <w:rsid w:val="3169578D"/>
    <w:rsid w:val="32F9774B"/>
    <w:rsid w:val="33F2F256"/>
    <w:rsid w:val="33FFED2D"/>
    <w:rsid w:val="36C42976"/>
    <w:rsid w:val="37B02184"/>
    <w:rsid w:val="37CD36B1"/>
    <w:rsid w:val="37FF393A"/>
    <w:rsid w:val="380F5149"/>
    <w:rsid w:val="382A7CAA"/>
    <w:rsid w:val="38536ED3"/>
    <w:rsid w:val="387725FA"/>
    <w:rsid w:val="38D641A2"/>
    <w:rsid w:val="39A33C74"/>
    <w:rsid w:val="3BDE60F0"/>
    <w:rsid w:val="3BFB9483"/>
    <w:rsid w:val="3D26782E"/>
    <w:rsid w:val="3D8328FB"/>
    <w:rsid w:val="3F5BE40E"/>
    <w:rsid w:val="3F6A5050"/>
    <w:rsid w:val="3FB96EEB"/>
    <w:rsid w:val="3FFA55D5"/>
    <w:rsid w:val="3FFFEE0B"/>
    <w:rsid w:val="41464F8F"/>
    <w:rsid w:val="41723032"/>
    <w:rsid w:val="43D84C74"/>
    <w:rsid w:val="43E2636A"/>
    <w:rsid w:val="44855992"/>
    <w:rsid w:val="449874E5"/>
    <w:rsid w:val="467D1614"/>
    <w:rsid w:val="469475AC"/>
    <w:rsid w:val="46C13206"/>
    <w:rsid w:val="485D6518"/>
    <w:rsid w:val="48E10914"/>
    <w:rsid w:val="499F673A"/>
    <w:rsid w:val="4AE8321B"/>
    <w:rsid w:val="4B7C35C8"/>
    <w:rsid w:val="4B800939"/>
    <w:rsid w:val="4C1A048F"/>
    <w:rsid w:val="4C26199E"/>
    <w:rsid w:val="4C360414"/>
    <w:rsid w:val="4CA85C1C"/>
    <w:rsid w:val="4CED041B"/>
    <w:rsid w:val="4D9755D1"/>
    <w:rsid w:val="4E6019B2"/>
    <w:rsid w:val="4FBE309C"/>
    <w:rsid w:val="502F808A"/>
    <w:rsid w:val="509E2486"/>
    <w:rsid w:val="512113AA"/>
    <w:rsid w:val="512E6DE1"/>
    <w:rsid w:val="51E77B87"/>
    <w:rsid w:val="54CD6705"/>
    <w:rsid w:val="54FF4283"/>
    <w:rsid w:val="55E2288E"/>
    <w:rsid w:val="57315EF1"/>
    <w:rsid w:val="57626A3C"/>
    <w:rsid w:val="57BA58F3"/>
    <w:rsid w:val="57BB886E"/>
    <w:rsid w:val="58ED4B3A"/>
    <w:rsid w:val="58EF44E8"/>
    <w:rsid w:val="591D3208"/>
    <w:rsid w:val="591D447D"/>
    <w:rsid w:val="59362B94"/>
    <w:rsid w:val="59772D15"/>
    <w:rsid w:val="59BB0AD9"/>
    <w:rsid w:val="5A1D5C5B"/>
    <w:rsid w:val="5AF62468"/>
    <w:rsid w:val="5B7D4AA8"/>
    <w:rsid w:val="5C2A3E31"/>
    <w:rsid w:val="5CDF6FD6"/>
    <w:rsid w:val="5CFA6768"/>
    <w:rsid w:val="5D9F580F"/>
    <w:rsid w:val="5F777B38"/>
    <w:rsid w:val="5F90532A"/>
    <w:rsid w:val="5FFD6800"/>
    <w:rsid w:val="600B1B2F"/>
    <w:rsid w:val="60A31D4A"/>
    <w:rsid w:val="614F1D01"/>
    <w:rsid w:val="62112444"/>
    <w:rsid w:val="63E446CD"/>
    <w:rsid w:val="651939BA"/>
    <w:rsid w:val="67137A91"/>
    <w:rsid w:val="67EE9858"/>
    <w:rsid w:val="67F3D028"/>
    <w:rsid w:val="68A67C63"/>
    <w:rsid w:val="69EF74F0"/>
    <w:rsid w:val="6A247931"/>
    <w:rsid w:val="6AB973C7"/>
    <w:rsid w:val="6B3767D7"/>
    <w:rsid w:val="6B537F4A"/>
    <w:rsid w:val="6B6F1378"/>
    <w:rsid w:val="6B8604D9"/>
    <w:rsid w:val="6DC15218"/>
    <w:rsid w:val="6E8A7C3C"/>
    <w:rsid w:val="6EA36D2D"/>
    <w:rsid w:val="6EFFD205"/>
    <w:rsid w:val="6F30482E"/>
    <w:rsid w:val="6FBE59AE"/>
    <w:rsid w:val="6FDF40E9"/>
    <w:rsid w:val="6FEBA25A"/>
    <w:rsid w:val="6FFD3A25"/>
    <w:rsid w:val="702308FE"/>
    <w:rsid w:val="70447118"/>
    <w:rsid w:val="716B2E7C"/>
    <w:rsid w:val="723D0CF2"/>
    <w:rsid w:val="72E3016B"/>
    <w:rsid w:val="73B46E0E"/>
    <w:rsid w:val="73F6015B"/>
    <w:rsid w:val="74852AEA"/>
    <w:rsid w:val="750061FF"/>
    <w:rsid w:val="753307D4"/>
    <w:rsid w:val="75BCF451"/>
    <w:rsid w:val="77DC1961"/>
    <w:rsid w:val="77E46285"/>
    <w:rsid w:val="77FD4CE2"/>
    <w:rsid w:val="78FF4CE5"/>
    <w:rsid w:val="79F3692D"/>
    <w:rsid w:val="7B3304CA"/>
    <w:rsid w:val="7BBEFD12"/>
    <w:rsid w:val="7BF3BC36"/>
    <w:rsid w:val="7C4923CF"/>
    <w:rsid w:val="7C4B623D"/>
    <w:rsid w:val="7DBF1715"/>
    <w:rsid w:val="7DC1622C"/>
    <w:rsid w:val="7DE70258"/>
    <w:rsid w:val="7DF9EFDA"/>
    <w:rsid w:val="7DFFA378"/>
    <w:rsid w:val="7E386687"/>
    <w:rsid w:val="7E5270EE"/>
    <w:rsid w:val="7ED7D28C"/>
    <w:rsid w:val="7EF5E0EE"/>
    <w:rsid w:val="7F086C78"/>
    <w:rsid w:val="7F0F2F74"/>
    <w:rsid w:val="7F5D99AD"/>
    <w:rsid w:val="7F77C49B"/>
    <w:rsid w:val="7F7A44CD"/>
    <w:rsid w:val="7FBE64D2"/>
    <w:rsid w:val="7FEC11EE"/>
    <w:rsid w:val="7FF321B2"/>
    <w:rsid w:val="7FF6A3BE"/>
    <w:rsid w:val="7FF71407"/>
    <w:rsid w:val="7FFE62BE"/>
    <w:rsid w:val="7FFF9A40"/>
    <w:rsid w:val="975FC316"/>
    <w:rsid w:val="9BFB7951"/>
    <w:rsid w:val="9DD752D6"/>
    <w:rsid w:val="9E67C1D0"/>
    <w:rsid w:val="AB7DC06A"/>
    <w:rsid w:val="AE199D32"/>
    <w:rsid w:val="AFF740F2"/>
    <w:rsid w:val="B9D7C05D"/>
    <w:rsid w:val="BB9F19F5"/>
    <w:rsid w:val="BCEF609F"/>
    <w:rsid w:val="BFEA2705"/>
    <w:rsid w:val="C7DFF0E8"/>
    <w:rsid w:val="CFEB32E8"/>
    <w:rsid w:val="CFF12678"/>
    <w:rsid w:val="D57F2E75"/>
    <w:rsid w:val="D6FAE7F0"/>
    <w:rsid w:val="D7EFE3B6"/>
    <w:rsid w:val="D7FD7485"/>
    <w:rsid w:val="DAC5B23E"/>
    <w:rsid w:val="DAFF21E7"/>
    <w:rsid w:val="DDF3CEA1"/>
    <w:rsid w:val="DF7764C0"/>
    <w:rsid w:val="DFFF0873"/>
    <w:rsid w:val="E3E77FCD"/>
    <w:rsid w:val="E5BE61F1"/>
    <w:rsid w:val="EBFF9B38"/>
    <w:rsid w:val="EF66CED4"/>
    <w:rsid w:val="EFDB8316"/>
    <w:rsid w:val="EFF38A0A"/>
    <w:rsid w:val="F5BBD56C"/>
    <w:rsid w:val="F6BF5D53"/>
    <w:rsid w:val="F7ADD192"/>
    <w:rsid w:val="F7FD5A0C"/>
    <w:rsid w:val="F9FFD84B"/>
    <w:rsid w:val="FA17CE15"/>
    <w:rsid w:val="FAFF7E8D"/>
    <w:rsid w:val="FC7FFECE"/>
    <w:rsid w:val="FCFE5109"/>
    <w:rsid w:val="FDCFBAE9"/>
    <w:rsid w:val="FDDFACB5"/>
    <w:rsid w:val="FDF7B498"/>
    <w:rsid w:val="FEA5F194"/>
    <w:rsid w:val="FEEFD314"/>
    <w:rsid w:val="FEFAAC28"/>
    <w:rsid w:val="FEFD50BD"/>
    <w:rsid w:val="FF9F2818"/>
    <w:rsid w:val="FFCEB378"/>
    <w:rsid w:val="FFED3C5D"/>
    <w:rsid w:val="FFF873F7"/>
    <w:rsid w:val="FF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ascii="黑体" w:hAns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kern w:val="0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61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2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2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7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5">
    <w:name w:val="font3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customStyle="1" w:styleId="26">
    <w:name w:val="表格"/>
    <w:basedOn w:val="1"/>
    <w:qFormat/>
    <w:uiPriority w:val="0"/>
    <w:pPr>
      <w:widowControl/>
      <w:spacing w:after="50" w:afterLines="50" w:line="240" w:lineRule="exact"/>
      <w:jc w:val="left"/>
    </w:pPr>
    <w:rPr>
      <w:kern w:val="0"/>
    </w:rPr>
  </w:style>
  <w:style w:type="paragraph" w:customStyle="1" w:styleId="27">
    <w:name w:val="列项——（一级）"/>
    <w:qFormat/>
    <w:uiPriority w:val="0"/>
    <w:pPr>
      <w:widowControl w:val="0"/>
      <w:tabs>
        <w:tab w:val="left" w:pos="1140"/>
      </w:tabs>
      <w:spacing w:after="160" w:line="259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标题1-1"/>
    <w:qFormat/>
    <w:uiPriority w:val="0"/>
    <w:pPr>
      <w:spacing w:before="100" w:beforeLines="100" w:after="50" w:afterLines="50"/>
      <w:ind w:firstLine="640" w:firstLineChars="200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9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30">
    <w:name w:val="正文1-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1">
    <w:name w:val="List Paragraph"/>
    <w:basedOn w:val="1"/>
    <w:qFormat/>
    <w:uiPriority w:val="34"/>
    <w:pPr>
      <w:ind w:firstLine="420"/>
    </w:pPr>
  </w:style>
  <w:style w:type="paragraph" w:customStyle="1" w:styleId="32">
    <w:name w:val="表标题"/>
    <w:basedOn w:val="1"/>
    <w:qFormat/>
    <w:uiPriority w:val="0"/>
    <w:pPr>
      <w:widowControl/>
      <w:spacing w:before="50" w:beforeLines="50" w:after="50" w:afterLines="50"/>
      <w:jc w:val="center"/>
    </w:pPr>
    <w:rPr>
      <w:rFonts w:eastAsia="黑体"/>
      <w:kern w:val="0"/>
    </w:rPr>
  </w:style>
  <w:style w:type="table" w:customStyle="1" w:styleId="33">
    <w:name w:val="网格型11"/>
    <w:basedOn w:val="11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34">
    <w:name w:val="网格型12"/>
    <w:basedOn w:val="11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标题 Char"/>
    <w:basedOn w:val="13"/>
    <w:link w:val="1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6">
    <w:name w:val="TOC Heading"/>
    <w:basedOn w:val="2"/>
    <w:next w:val="1"/>
    <w:semiHidden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paragraph" w:customStyle="1" w:styleId="37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46DA96-2F69-4A39-A45E-2FCBCFA16D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16</Pages>
  <Words>1325</Words>
  <Characters>7554</Characters>
  <Lines>62</Lines>
  <Paragraphs>17</Paragraphs>
  <TotalTime>2</TotalTime>
  <ScaleCrop>false</ScaleCrop>
  <LinksUpToDate>false</LinksUpToDate>
  <CharactersWithSpaces>8862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2024-11-25T08:28:00Z</dcterms:created>
  <dc:creator>Xtzj.User</dc:creator>
  <cp:lastModifiedBy>咔咔咔啦啦啦</cp:lastModifiedBy>
  <cp:lastPrinted>2024-11-14T03:47:00Z</cp:lastPrinted>
  <dcterms:modified xsi:type="dcterms:W3CDTF">2024-12-02T02:24:28Z</dcterms:modified>
  <dc:title>（局发文式样）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