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方正小标宋简体"/>
          <w:sz w:val="32"/>
          <w:szCs w:val="28"/>
        </w:rPr>
      </w:pPr>
    </w:p>
    <w:p>
      <w:pPr>
        <w:ind w:firstLine="879"/>
        <w:jc w:val="center"/>
        <w:rPr>
          <w:rFonts w:eastAsia="方正小标宋简体"/>
          <w:sz w:val="28"/>
          <w:szCs w:val="28"/>
        </w:rPr>
      </w:pPr>
    </w:p>
    <w:p>
      <w:pPr>
        <w:spacing w:before="120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化妆品安全评估</w:t>
      </w:r>
      <w:r>
        <w:rPr>
          <w:rFonts w:hint="eastAsia" w:eastAsia="方正小标宋简体"/>
          <w:sz w:val="44"/>
          <w:szCs w:val="44"/>
        </w:rPr>
        <w:t>报告（完整版）</w:t>
      </w:r>
    </w:p>
    <w:p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注：本示例格式和内容仅供参考</w:t>
      </w:r>
    </w:p>
    <w:p>
      <w:pPr>
        <w:adjustRightInd w:val="0"/>
        <w:snapToGrid w:val="0"/>
        <w:spacing w:before="120"/>
        <w:ind w:firstLine="560"/>
        <w:jc w:val="right"/>
      </w:pPr>
      <w:r>
        <w:t xml:space="preserve">                                             </w:t>
      </w:r>
    </w:p>
    <w:p>
      <w:pPr>
        <w:adjustRightInd w:val="0"/>
        <w:snapToGrid w:val="0"/>
        <w:spacing w:before="120"/>
        <w:ind w:firstLine="560"/>
      </w:pPr>
    </w:p>
    <w:p>
      <w:pPr>
        <w:adjustRightInd w:val="0"/>
        <w:snapToGrid w:val="0"/>
        <w:spacing w:before="120"/>
        <w:ind w:firstLine="560"/>
      </w:pPr>
    </w:p>
    <w:p>
      <w:pPr>
        <w:adjustRightInd w:val="0"/>
        <w:snapToGrid w:val="0"/>
        <w:spacing w:before="120"/>
        <w:ind w:firstLine="560"/>
      </w:pPr>
    </w:p>
    <w:p>
      <w:pPr>
        <w:pStyle w:val="29"/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3" w:firstLineChars="39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 xml:space="preserve">  题    目：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xxxx精华液</w:t>
      </w:r>
      <w:r>
        <w:rPr>
          <w:rFonts w:hint="eastAsia" w:ascii="Times New Roman" w:eastAsia="仿宋_GB2312"/>
          <w:bCs/>
          <w:sz w:val="32"/>
          <w:szCs w:val="32"/>
          <w:u w:val="single"/>
          <w:lang w:val="en-US" w:eastAsia="zh-CN"/>
        </w:rPr>
        <w:t xml:space="preserve"> </w:t>
      </w:r>
      <w:bookmarkStart w:id="13" w:name="_GoBack"/>
      <w:bookmarkEnd w:id="13"/>
      <w:r>
        <w:rPr>
          <w:rFonts w:ascii="Times New Roman" w:eastAsia="仿宋_GB2312"/>
          <w:sz w:val="32"/>
          <w:szCs w:val="32"/>
          <w:u w:val="single"/>
        </w:rPr>
        <w:t>安全评估报告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9"/>
        <w:adjustRightInd w:val="0"/>
        <w:snapToGrid w:val="0"/>
        <w:spacing w:line="360" w:lineRule="auto"/>
        <w:ind w:right="-227" w:rightChars="-108" w:firstLine="281" w:firstLineChars="8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注册人/备案人名称：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xxxxxx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9"/>
        <w:adjustRightInd w:val="0"/>
        <w:snapToGrid w:val="0"/>
        <w:spacing w:line="360" w:lineRule="auto"/>
        <w:ind w:left="248" w:leftChars="11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注册人/备案人地址：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 xxxxxxx </w:t>
      </w:r>
    </w:p>
    <w:p>
      <w:pPr>
        <w:pStyle w:val="29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评估单位：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xxxxxxx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9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评 估 人：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eastAsia="仿宋_GB2312"/>
          <w:sz w:val="32"/>
          <w:szCs w:val="32"/>
          <w:u w:val="single"/>
        </w:rPr>
        <w:t>xxx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</w:p>
    <w:p>
      <w:pPr>
        <w:pStyle w:val="29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评估日期：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>xx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eastAsia="仿宋_GB2312"/>
          <w:sz w:val="32"/>
          <w:szCs w:val="32"/>
        </w:rPr>
        <w:t>日</w:t>
      </w:r>
    </w:p>
    <w:p>
      <w:pPr>
        <w:tabs>
          <w:tab w:val="left" w:pos="1140"/>
        </w:tabs>
        <w:adjustRightInd w:val="0"/>
        <w:snapToGrid w:val="0"/>
        <w:spacing w:after="160" w:line="360" w:lineRule="auto"/>
        <w:ind w:firstLine="1558" w:firstLineChars="487"/>
        <w:rPr>
          <w:rFonts w:eastAsia="仿宋_GB2312"/>
          <w:kern w:val="0"/>
          <w:sz w:val="32"/>
          <w:szCs w:val="32"/>
        </w:rPr>
      </w:pPr>
    </w:p>
    <w:p>
      <w:pPr>
        <w:spacing w:before="120" w:after="120" w:line="360" w:lineRule="auto"/>
        <w:jc w:val="center"/>
        <w:rPr>
          <w:lang w:val="zh-CN"/>
        </w:rPr>
      </w:pPr>
      <w:r>
        <w:br w:type="page"/>
      </w:r>
    </w:p>
    <w:sdt>
      <w:sdtP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zh-CN"/>
        </w:rPr>
        <w:id w:val="-741713873"/>
        <w:docPartObj>
          <w:docPartGallery w:val="Table of Contents"/>
          <w:docPartUnique/>
        </w:docPartObj>
      </w:sdtPr>
      <w:sdtEndPr>
        <w:rPr>
          <w:rFonts w:hint="default" w:ascii="宋体" w:hAnsi="Times New Roman" w:eastAsia="宋体" w:cs="Times New Roman"/>
          <w:b w:val="0"/>
          <w:bCs w:val="0"/>
          <w:color w:val="auto"/>
          <w:kern w:val="0"/>
          <w:sz w:val="21"/>
          <w:szCs w:val="20"/>
          <w:lang w:val="en-US"/>
        </w:rPr>
      </w:sdtEndPr>
      <w:sdtContent>
        <w:p>
          <w:pPr>
            <w:pStyle w:val="38"/>
            <w:ind w:firstLine="422" w:firstLineChars="96"/>
            <w:jc w:val="center"/>
            <w:rPr>
              <w:rFonts w:ascii="方正小标宋简体" w:eastAsia="方正小标宋简体"/>
              <w:b w:val="0"/>
              <w:color w:val="auto"/>
              <w:sz w:val="44"/>
              <w:szCs w:val="44"/>
              <w:lang w:val="zh-CN"/>
            </w:rPr>
          </w:pPr>
          <w:r>
            <w:rPr>
              <w:rFonts w:hint="eastAsia" w:ascii="方正小标宋简体" w:eastAsia="方正小标宋简体"/>
              <w:b w:val="0"/>
              <w:color w:val="auto"/>
              <w:sz w:val="44"/>
              <w:szCs w:val="44"/>
              <w:lang w:val="zh-CN"/>
            </w:rPr>
            <w:t>目  录</w:t>
          </w:r>
        </w:p>
        <w:p>
          <w:pPr>
            <w:rPr>
              <w:lang w:val="zh-CN"/>
            </w:rPr>
          </w:pPr>
        </w:p>
        <w:p>
          <w:pPr>
            <w:pStyle w:val="10"/>
            <w:tabs>
              <w:tab w:val="right" w:leader="middleDot" w:pos="8834"/>
            </w:tabs>
            <w:rPr>
              <w:rFonts w:hint="eastAsia" w:eastAsia="方正小标宋简体"/>
              <w:sz w:val="32"/>
              <w:szCs w:val="32"/>
              <w:lang w:eastAsia="zh-CN"/>
            </w:rPr>
          </w:pP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TOC \o "1-1" \u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eastAsia="方正小标宋简体"/>
              <w:sz w:val="32"/>
              <w:szCs w:val="32"/>
            </w:rPr>
            <w:t>一、摘要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二、产品简介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三、产品配方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middleDot" w:pos="8834"/>
            </w:tabs>
            <w:rPr>
              <w:rFonts w:hint="eastAsia" w:eastAsia="方正小标宋简体"/>
              <w:sz w:val="32"/>
              <w:szCs w:val="32"/>
              <w:lang w:val="en-US" w:eastAsia="zh-CN"/>
            </w:rPr>
          </w:pPr>
          <w:r>
            <w:rPr>
              <w:rFonts w:eastAsia="方正小标宋简体"/>
              <w:sz w:val="32"/>
              <w:szCs w:val="32"/>
            </w:rPr>
            <w:t>四、配方中各成分的安全评估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五、可能存在的风险物质的安全评估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middleDot" w:pos="8834"/>
            </w:tabs>
          </w:pPr>
          <w:r>
            <w:rPr>
              <w:rFonts w:eastAsia="方正小标宋简体"/>
              <w:sz w:val="32"/>
              <w:szCs w:val="32"/>
            </w:rPr>
            <w:t>六、风险控制措施或建议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七、安全评估结论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八、安全评估人员的签名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九、安全评估人员简历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十、参考文献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middle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十一、附录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29"/>
            <w:tabs>
              <w:tab w:val="right" w:leader="middleDot" w:pos="8647"/>
            </w:tabs>
            <w:adjustRightInd w:val="0"/>
            <w:snapToGrid w:val="0"/>
            <w:spacing w:after="0" w:line="600" w:lineRule="exact"/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ascii="Times New Roman" w:eastAsia="方正小标宋简体"/>
              <w:sz w:val="32"/>
              <w:szCs w:val="32"/>
            </w:rPr>
            <w:fldChar w:fldCharType="end"/>
          </w:r>
        </w:p>
      </w:sdtContent>
    </w:sdt>
    <w:p>
      <w:pPr>
        <w:pStyle w:val="12"/>
        <w:spacing w:before="0" w:after="0" w:line="580" w:lineRule="exact"/>
        <w:ind w:firstLine="643" w:firstLineChars="200"/>
        <w:jc w:val="left"/>
        <w:rPr>
          <w:rFonts w:ascii="黑体" w:hAnsi="黑体" w:eastAsia="黑体"/>
          <w:b w:val="0"/>
        </w:rPr>
      </w:pPr>
      <w:bookmarkStart w:id="0" w:name="_Toc16405"/>
      <w:r>
        <w:br w:type="page"/>
      </w:r>
      <w:bookmarkEnd w:id="0"/>
      <w:bookmarkStart w:id="1" w:name="_Toc180484585"/>
      <w:r>
        <w:rPr>
          <w:rFonts w:ascii="黑体" w:hAnsi="黑体" w:eastAsia="黑体"/>
          <w:b w:val="0"/>
        </w:rPr>
        <w:t>一、摘要</w:t>
      </w:r>
      <w:bookmarkEnd w:id="1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xxxx精华液</w:t>
      </w:r>
      <w:r>
        <w:rPr>
          <w:rFonts w:eastAsia="仿宋_GB2312"/>
          <w:sz w:val="32"/>
          <w:szCs w:val="28"/>
        </w:rPr>
        <w:t>为</w:t>
      </w:r>
      <w:r>
        <w:rPr>
          <w:rFonts w:hint="eastAsia" w:eastAsia="仿宋_GB2312"/>
          <w:sz w:val="32"/>
          <w:szCs w:val="28"/>
        </w:rPr>
        <w:t>驻留</w:t>
      </w:r>
      <w:r>
        <w:rPr>
          <w:rFonts w:eastAsia="仿宋_GB2312"/>
          <w:sz w:val="32"/>
          <w:szCs w:val="28"/>
        </w:rPr>
        <w:t>类化妆品</w:t>
      </w:r>
      <w:r>
        <w:rPr>
          <w:rFonts w:hint="eastAsia" w:eastAsia="仿宋_GB2312"/>
          <w:sz w:val="32"/>
          <w:szCs w:val="28"/>
        </w:rPr>
        <w:t>，适用于面部，可每日使用。</w:t>
      </w:r>
      <w:r>
        <w:rPr>
          <w:rFonts w:eastAsia="仿宋_GB2312"/>
          <w:sz w:val="32"/>
          <w:szCs w:val="28"/>
        </w:rPr>
        <w:t>依据《化妆品安全评估技术导则</w:t>
      </w:r>
      <w:r>
        <w:rPr>
          <w:rFonts w:hint="eastAsia" w:eastAsia="仿宋_GB2312"/>
          <w:sz w:val="32"/>
          <w:szCs w:val="28"/>
        </w:rPr>
        <w:t>》（2021年版）有关规定，</w:t>
      </w:r>
      <w:r>
        <w:rPr>
          <w:rFonts w:eastAsia="仿宋_GB2312"/>
          <w:sz w:val="32"/>
          <w:szCs w:val="28"/>
        </w:rPr>
        <w:t>对产品的微生物</w:t>
      </w:r>
      <w:r>
        <w:rPr>
          <w:rFonts w:hint="eastAsia" w:eastAsia="仿宋_GB2312"/>
          <w:sz w:val="32"/>
          <w:szCs w:val="28"/>
        </w:rPr>
        <w:t>和</w:t>
      </w:r>
      <w:r>
        <w:rPr>
          <w:rFonts w:eastAsia="仿宋_GB2312"/>
          <w:sz w:val="32"/>
          <w:szCs w:val="28"/>
        </w:rPr>
        <w:t>有害物质等进行了检测，并</w:t>
      </w:r>
      <w:r>
        <w:rPr>
          <w:rFonts w:hint="eastAsia" w:eastAsia="仿宋_GB2312"/>
          <w:sz w:val="32"/>
          <w:szCs w:val="28"/>
        </w:rPr>
        <w:t>对配方所用的水、丁二醇、1,2-己二醇、对羟基苯乙酮、尿囊素、甘油、甘露糖醇、精氨酸、CI 42090、β-葡聚糖等xxx种成分进行评估，可能存在</w:t>
      </w:r>
      <w:r>
        <w:rPr>
          <w:rFonts w:eastAsia="仿宋_GB2312"/>
          <w:sz w:val="32"/>
          <w:szCs w:val="28"/>
        </w:rPr>
        <w:t>的</w:t>
      </w:r>
      <w:r>
        <w:rPr>
          <w:rFonts w:hint="eastAsia" w:eastAsia="仿宋_GB2312"/>
          <w:sz w:val="32"/>
          <w:szCs w:val="28"/>
        </w:rPr>
        <w:t>二甘醇、</w:t>
      </w:r>
      <w:r>
        <w:rPr>
          <w:rFonts w:eastAsia="仿宋_GB2312"/>
          <w:sz w:val="32"/>
          <w:szCs w:val="28"/>
        </w:rPr>
        <w:t>等</w:t>
      </w:r>
      <w:r>
        <w:rPr>
          <w:rFonts w:hint="eastAsia" w:eastAsia="仿宋_GB2312"/>
          <w:sz w:val="32"/>
          <w:szCs w:val="28"/>
        </w:rPr>
        <w:t>xx</w:t>
      </w:r>
      <w:r>
        <w:rPr>
          <w:rFonts w:eastAsia="仿宋_GB2312"/>
          <w:sz w:val="32"/>
          <w:szCs w:val="28"/>
        </w:rPr>
        <w:t>种风险物质开展了安全评估。结果显示，该产品在正常、合理及可预见的使用情况下，不会对人体健康产生危害。</w:t>
      </w:r>
    </w:p>
    <w:p>
      <w:pPr>
        <w:pStyle w:val="12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2" w:name="_Toc180484586"/>
      <w:r>
        <w:rPr>
          <w:rFonts w:ascii="黑体" w:hAnsi="黑体" w:eastAsia="黑体"/>
          <w:b w:val="0"/>
        </w:rPr>
        <w:t>二、产品简介</w:t>
      </w:r>
      <w:bookmarkEnd w:id="2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1、产品名称：</w:t>
      </w:r>
      <w:r>
        <w:rPr>
          <w:rFonts w:hint="eastAsia" w:eastAsia="仿宋_GB2312"/>
          <w:sz w:val="32"/>
          <w:szCs w:val="28"/>
        </w:rPr>
        <w:t>xxxx精华液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2、产品使用方法：</w:t>
      </w:r>
      <w:r>
        <w:rPr>
          <w:rFonts w:hint="eastAsia" w:eastAsia="仿宋_GB2312"/>
          <w:bCs/>
          <w:sz w:val="32"/>
          <w:szCs w:val="28"/>
        </w:rPr>
        <w:t>洁面后，取适量本品均匀涂于面部，轻轻按摩至吸收。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3、使用人群</w:t>
      </w:r>
      <w:r>
        <w:rPr>
          <w:rFonts w:hint="eastAsia" w:eastAsia="仿宋_GB2312"/>
          <w:sz w:val="32"/>
          <w:szCs w:val="28"/>
        </w:rPr>
        <w:t>：普通人群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、日均使用量（g/day）：</w:t>
      </w:r>
      <w:r>
        <w:rPr>
          <w:rFonts w:hint="eastAsia" w:eastAsia="仿宋_GB2312"/>
          <w:sz w:val="32"/>
          <w:szCs w:val="28"/>
        </w:rPr>
        <w:t>1.54</w:t>
      </w:r>
      <w:r>
        <w:rPr>
          <w:rFonts w:eastAsia="仿宋_GB2312"/>
          <w:sz w:val="32"/>
          <w:szCs w:val="28"/>
        </w:rPr>
        <w:t>*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4、产品驻留因子：</w:t>
      </w:r>
      <w:r>
        <w:rPr>
          <w:rFonts w:hint="eastAsia" w:eastAsia="仿宋_GB2312"/>
          <w:sz w:val="32"/>
          <w:szCs w:val="28"/>
        </w:rPr>
        <w:t>1.0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5、暴露剂量（SED）=日均使用量×驻留因子×成分在配方中百分比×经皮吸收率÷体重</w:t>
      </w:r>
      <w:r>
        <w:rPr>
          <w:rFonts w:eastAsia="仿宋_GB2312"/>
          <w:sz w:val="32"/>
          <w:szCs w:val="28"/>
          <w:vertAlign w:val="superscript"/>
        </w:rPr>
        <w:t>#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注：</w:t>
      </w:r>
      <w:r>
        <w:rPr>
          <w:rFonts w:eastAsia="仿宋_GB2312"/>
          <w:sz w:val="32"/>
          <w:szCs w:val="28"/>
          <w:vertAlign w:val="superscript"/>
        </w:rPr>
        <w:t>*</w:t>
      </w:r>
      <w:r>
        <w:rPr>
          <w:rFonts w:eastAsia="仿宋_GB2312"/>
          <w:sz w:val="32"/>
          <w:szCs w:val="28"/>
        </w:rPr>
        <w:t>日均使用量参考</w:t>
      </w:r>
      <w:r>
        <w:rPr>
          <w:rFonts w:hint="eastAsia" w:eastAsia="仿宋_GB2312"/>
          <w:sz w:val="32"/>
          <w:szCs w:val="28"/>
        </w:rPr>
        <w:t>面霜</w:t>
      </w:r>
      <w:r>
        <w:rPr>
          <w:rFonts w:eastAsia="仿宋_GB2312"/>
          <w:sz w:val="32"/>
          <w:szCs w:val="28"/>
        </w:rPr>
        <w:t>用量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数据来源为《THE SCCS NOTES OF GUIDANCE FOR THE TESTING OF COSMETIC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INGREDIENTS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AND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THEIR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SAFETY EVALUATION</w:t>
      </w:r>
      <w:r>
        <w:rPr>
          <w:rFonts w:hint="eastAsia" w:eastAsia="仿宋_GB2312"/>
          <w:sz w:val="32"/>
          <w:szCs w:val="28"/>
        </w:rPr>
        <w:t>（</w:t>
      </w:r>
      <w:r>
        <w:rPr>
          <w:rFonts w:eastAsia="仿宋_GB2312"/>
          <w:sz w:val="32"/>
          <w:szCs w:val="28"/>
        </w:rPr>
        <w:t>1</w:t>
      </w:r>
      <w:r>
        <w:rPr>
          <w:rFonts w:hint="eastAsia"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  <w:vertAlign w:val="superscript"/>
        </w:rPr>
        <w:t>TH</w:t>
      </w:r>
      <w:r>
        <w:rPr>
          <w:rFonts w:eastAsia="仿宋_GB2312"/>
          <w:sz w:val="32"/>
          <w:szCs w:val="28"/>
        </w:rPr>
        <w:t xml:space="preserve"> REVISION）》。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  <w:vertAlign w:val="superscript"/>
        </w:rPr>
        <w:t>#</w:t>
      </w:r>
      <w:r>
        <w:rPr>
          <w:rFonts w:eastAsia="仿宋_GB2312"/>
          <w:sz w:val="32"/>
          <w:szCs w:val="28"/>
        </w:rPr>
        <w:t xml:space="preserve"> 体重一般为默认的成人体重（60 kg）；经皮吸收率以100%计。</w:t>
      </w:r>
    </w:p>
    <w:p>
      <w:pPr>
        <w:pStyle w:val="12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3" w:name="_Toc180484587"/>
      <w:r>
        <w:rPr>
          <w:rFonts w:ascii="黑体" w:hAnsi="黑体" w:eastAsia="黑体"/>
          <w:b w:val="0"/>
        </w:rPr>
        <w:t>三、产品配方</w:t>
      </w:r>
      <w:bookmarkEnd w:id="3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本配方中所使用的成分均已列入《已使用化妆品原料目录》或《化妆品安全技术规范》（2015年版），</w:t>
      </w:r>
      <w:r>
        <w:rPr>
          <w:rFonts w:hint="eastAsia" w:eastAsia="仿宋_GB2312"/>
          <w:sz w:val="32"/>
          <w:szCs w:val="28"/>
        </w:rPr>
        <w:t>产品</w:t>
      </w:r>
      <w:r>
        <w:rPr>
          <w:rFonts w:eastAsia="仿宋_GB2312"/>
          <w:sz w:val="32"/>
          <w:szCs w:val="28"/>
        </w:rPr>
        <w:t>配方表见表1，产品实际成分含量表见表2。</w:t>
      </w:r>
    </w:p>
    <w:p>
      <w:pPr>
        <w:pStyle w:val="34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表1  </w:t>
      </w:r>
      <w:r>
        <w:rPr>
          <w:rFonts w:hint="eastAsia" w:eastAsia="仿宋_GB2312"/>
          <w:b/>
          <w:bCs/>
          <w:sz w:val="28"/>
          <w:szCs w:val="28"/>
        </w:rPr>
        <w:t>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3"/>
        <w:tblW w:w="8881" w:type="dxa"/>
        <w:jc w:val="center"/>
        <w:tblInd w:w="-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114"/>
        <w:gridCol w:w="2229"/>
        <w:gridCol w:w="1207"/>
        <w:gridCol w:w="1085"/>
        <w:gridCol w:w="16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在《已使用原料目录》中的序号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丁二醇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BUTYLENE GLYCOL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01946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皮肤调理剂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甘油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GLYCERIN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02421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1,2-己二醇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1,2-HEXANEDIOL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00004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尿囊素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ALLANTOIN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皮肤调理剂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04823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1,2-己二醇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1,2-HEXANEDIOL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00004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对羟基苯乙酮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HYDROXYACETOPHENONE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抗氧化剂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02021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β-葡聚糖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BETA-GLUCAN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皮肤调理剂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01010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甘露糖醇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MANNITOL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02412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精氨酸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ARGININE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pH调节剂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03519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CI 42090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CI 42090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着色剂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00295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《化妆品安全技术规范》准用着色剂（表6）序号62</w:t>
            </w:r>
          </w:p>
        </w:tc>
      </w:tr>
    </w:tbl>
    <w:p>
      <w:pPr>
        <w:pStyle w:val="34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表2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tbl>
      <w:tblPr>
        <w:tblStyle w:val="13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3550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Header/>
          <w:jc w:val="center"/>
        </w:trPr>
        <w:tc>
          <w:tcPr>
            <w:tcW w:w="2982" w:type="dxa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标准中文名称</w:t>
            </w:r>
          </w:p>
        </w:tc>
        <w:tc>
          <w:tcPr>
            <w:tcW w:w="3550" w:type="dxa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INCI名</w:t>
            </w:r>
          </w:p>
        </w:tc>
        <w:tc>
          <w:tcPr>
            <w:tcW w:w="2358" w:type="dxa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实际成分含量（%）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WATER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丁二醇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BUTYLENE GLYCOL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1,2-</w:t>
            </w:r>
            <w:r>
              <w:rPr>
                <w:rFonts w:hint="eastAsia" w:eastAsia="仿宋_GB2312"/>
                <w:sz w:val="24"/>
              </w:rPr>
              <w:t>己二醇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1,2-HEXANEDIOL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对羟基苯乙酮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HYDROXYACETOPHENONE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尿囊素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ALLANTOIN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甘油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GLYCERIN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甘露糖醇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MANNITOL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精氨酸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ARGININE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CI 42090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CI 42090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β-</w:t>
            </w:r>
            <w:r>
              <w:rPr>
                <w:rFonts w:hint="eastAsia" w:eastAsia="仿宋_GB2312"/>
                <w:sz w:val="24"/>
              </w:rPr>
              <w:t>葡聚糖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BETA-GLUCAN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xxx</w:t>
            </w:r>
          </w:p>
        </w:tc>
      </w:tr>
    </w:tbl>
    <w:p>
      <w:pPr>
        <w:rPr>
          <w:rFonts w:hint="eastAsia" w:ascii="黑体" w:hAnsi="黑体" w:eastAsia="黑体" w:cstheme="majorBidi"/>
          <w:b w:val="0"/>
          <w:bCs/>
          <w:kern w:val="2"/>
          <w:sz w:val="32"/>
          <w:szCs w:val="32"/>
          <w:lang w:val="en-US" w:eastAsia="zh-CN" w:bidi="ar-SA"/>
        </w:rPr>
        <w:sectPr>
          <w:headerReference r:id="rId3" w:type="default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  <w:bookmarkStart w:id="4" w:name="_Toc180484588"/>
    </w:p>
    <w:p>
      <w:pPr>
        <w:rPr>
          <w:rFonts w:hint="eastAsia" w:ascii="黑体" w:hAnsi="黑体" w:eastAsia="黑体" w:cstheme="majorBidi"/>
          <w:b w:val="0"/>
          <w:bCs/>
          <w:kern w:val="2"/>
          <w:sz w:val="32"/>
          <w:szCs w:val="32"/>
          <w:lang w:val="en-US" w:eastAsia="zh-CN" w:bidi="ar-SA"/>
        </w:rPr>
        <w:sectPr>
          <w:type w:val="continuous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  <w:r>
        <w:rPr>
          <w:rFonts w:hint="eastAsia" w:ascii="黑体" w:hAnsi="黑体" w:eastAsia="黑体" w:cstheme="majorBidi"/>
          <w:b w:val="0"/>
          <w:bCs/>
          <w:kern w:val="2"/>
          <w:sz w:val="32"/>
          <w:szCs w:val="32"/>
          <w:lang w:val="en-US" w:eastAsia="zh-CN" w:bidi="ar-SA"/>
        </w:rPr>
        <w:br w:type="page"/>
      </w:r>
    </w:p>
    <w:p>
      <w:pPr>
        <w:pStyle w:val="12"/>
        <w:spacing w:before="0" w:after="0" w:line="580" w:lineRule="exact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ascii="黑体" w:hAnsi="黑体" w:eastAsia="黑体"/>
          <w:b w:val="0"/>
          <w:lang w:val="en-US" w:eastAsia="zh-CN"/>
        </w:rPr>
        <w:t>四、</w:t>
      </w:r>
      <w:r>
        <w:rPr>
          <w:rFonts w:ascii="黑体" w:hAnsi="黑体" w:eastAsia="黑体"/>
          <w:b w:val="0"/>
          <w:lang w:val="en-US" w:eastAsia="zh-CN"/>
        </w:rPr>
        <w:t>配方中各成分的安全评估</w:t>
      </w:r>
      <w:bookmarkEnd w:id="4"/>
    </w:p>
    <w:p>
      <w:pPr>
        <w:numPr>
          <w:ilvl w:val="0"/>
          <w:numId w:val="0"/>
        </w:numPr>
        <w:jc w:val="center"/>
        <w:rPr>
          <w:rFonts w:hint="default" w:eastAsia="仿宋_GB2312"/>
          <w:b/>
          <w:bCs/>
          <w:sz w:val="28"/>
          <w:szCs w:val="28"/>
          <w:lang w:val="en-US" w:eastAsia="zh-CN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各成分的安全评估</w:t>
      </w:r>
    </w:p>
    <w:tbl>
      <w:tblPr>
        <w:tblStyle w:val="13"/>
        <w:tblW w:w="12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980"/>
        <w:gridCol w:w="1238"/>
        <w:gridCol w:w="4922"/>
        <w:gridCol w:w="3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含量（%）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评估结论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参考文献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本产品使用的水符合化妆品生产用水要求，无安全风险。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丁二醇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2006年美国化妆品成分评价委员会（CIR）发布对丁二醇的安全性审查，认为该成分作为化妆品原料使用是安全的。在用于面部和颈部的皮肤护理产品（Face and neck skin care）中的使用浓度为3%-7%。丁二醇在本产品中的总添加量为xxx%，应用风险在可接受范围之内。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Annual Review of Cosmetic Ingredient Safety Assessment - 2004/2005. International Journal of Toxicology, 2006, 25(Suppl. 2): 1-89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1,2-己二醇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2012年CIR发布对1,2-己二醇的安全性审查，认为该成分作为化妆品原料使用是安全的。在驻留类（Leave-on）化妆品中的使用浓度为0.2%-10%，在皮肤接触类（Dermal contact）化妆品中的使用浓度为0.00005%-10%。1,2-己二醇在本产品中的总添加量为xxx%，应用风险在可接受范围之内。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Safety Assessment of 1,2-Glycols as Used in Cosmetics. International Journal of Toxicology, 2012, 31(Suppl. 2): 147-168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对羟基苯乙酮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CIR发布对对羟基苯乙酮的安全性审查，认为该成分作为化妆品原料使用是安全的。在驻留类化妆品中的使用浓度为0.02%-5%，在皮肤接触类化妆品中的使用浓度为0.000099%-5%。对羟基苯乙酮在本产品中的总添加量为xxx%，应用风险在可接受范围之内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Safety Assessment of Hydroxyacetophenone as Used in Cosmetics. Final Report 09/2022 Available from CIR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尿囊素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2010年CIR发布对尿囊素的安全性审查，认为该成分作为化妆品原料使用是安全的。在用于面部和颈部的霜、乳液、粉末和喷雾产品（Face and neck creams, lotions, powders, and sprays）中的使用浓度为0.002%-0.4%。尿囊素在本产品中的添加量的添加量为xxx%，应用风险在可接受范围之内。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Final Report of the Safety Assessment of Allantoin and Its Related Complexes. International Journal of Toxicology, 2010, 29(Suppl. 2): 84-97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甘油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CIR发布对甘油的安全性审查，认为该成分作为化妆品原料使用是安全的。在驻留类化妆品中的使用浓度为0.0001%-79.2%，在皮肤接触类化妆品中的使用浓度为0.003%-99.4%。甘油在本产品中的添加量为xxx%，应用风险在可接受范围之内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Safety Assessment of Glycerin as Used in Cosmetics. International Journal of Toxicology, 2019, 38(Suppl. 3): 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甘露糖醇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CIR发布对甘露糖醇的安全性审查，认为该成分作为化妆品原料使用是安全的。在驻留类化妆品中的使用浓度为0.000063%-60.5%，在皮肤接触类化妆品中的使用浓度为0.000063%-60.5%。甘露糖醇在本产品中的添加量为xxx%，应用风险在可接受范围之内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Safety Assessment of Mannitol, Sorbitol, and Xylitol as Used in Cosmetics. Final Report 12/2019 Available from CIR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精氨酸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CIR发布对精氨酸的安全性审查，认为该成分作为化妆品原料使用是安全的。在驻留类化妆品中的使用浓度为0.00002%-2%，在皮肤接触类化妆品中的使用浓度为0.00002%-18%。精氨酸在本产品中的总添加量为xxxx%，应用风险在可接受范围之内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Safety Assessment of α-Amino Acids as Used in Cosmetics. International Journal of Toxicology, 2013, 32(Suppl. 4): 41-64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CI 42090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《化妆品安全技术规范》表6化妆品准用着色剂规定，CI 42090允许在各种化妆品中使用。该原料的添加量为xxx%，在本产品中应用风险在可接受范围之内。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国家食品药品监督管理总局，关于发布化妆品安全技术规范（2015年版）的公告，2015年第268号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β-葡聚糖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CIR发布对β-葡聚糖的安全性审查，认为该成分作为化妆品原料使用是安全的。在驻留类化妆品中的使用浓度为0.0002%-0.1%，在皮肤接触类化妆品中的使用浓度为0.0002%-0.1%。β-葡聚糖在本产品中的添加量为xxx%，应用风险在可接受范围之内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Safety Assessment of Microbial Polysaccharide Gums as Used in Cosmetics. International Journal of Toxicology, 2016, 35(Suppl. 1): 5-49</w:t>
            </w:r>
          </w:p>
        </w:tc>
      </w:tr>
    </w:tbl>
    <w:p>
      <w:pPr>
        <w:rPr>
          <w:rFonts w:ascii="黑体" w:hAnsi="黑体" w:eastAsia="黑体"/>
          <w:b w:val="0"/>
        </w:rPr>
        <w:sectPr>
          <w:type w:val="continuous"/>
          <w:pgSz w:w="16838" w:h="11906" w:orient="landscape"/>
          <w:pgMar w:top="1531" w:right="1928" w:bottom="1531" w:left="1814" w:header="851" w:footer="680" w:gutter="0"/>
          <w:pgNumType w:start="1"/>
          <w:cols w:space="720" w:num="1"/>
          <w:docGrid w:type="lines" w:linePitch="319" w:charSpace="0"/>
        </w:sectPr>
      </w:pPr>
      <w:bookmarkStart w:id="5" w:name="_Toc180484589"/>
    </w:p>
    <w:p>
      <w:pPr>
        <w:pStyle w:val="12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五、可能存在的风险物质的安全评估</w:t>
      </w:r>
      <w:bookmarkEnd w:id="5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本产品按照《化妆品安全评估技术导则》</w:t>
      </w:r>
      <w:r>
        <w:rPr>
          <w:rFonts w:hint="eastAsia" w:eastAsia="仿宋_GB2312"/>
          <w:sz w:val="32"/>
          <w:szCs w:val="28"/>
          <w:lang w:val="en-US" w:eastAsia="zh-CN"/>
        </w:rPr>
        <w:t>和《化妆品风险物质识别与评估技术指导原则》</w:t>
      </w:r>
      <w:r>
        <w:rPr>
          <w:rFonts w:eastAsia="仿宋_GB2312"/>
          <w:sz w:val="32"/>
          <w:szCs w:val="28"/>
        </w:rPr>
        <w:t>的要求，基于当前科学认知水平，对可能由化妆品原料带入、生产过程中产生或带入的风险物质进行评估，结果表明：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本产品的生产符合国家相关法律法规，对生产过程和产品包装材料进行严格的管理和控制。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产品中可能存在的安全性风险物质是技术上无法避免、由原料带入的杂质。残留的微量杂质在正常合理使用条件下不会对人体健康造成危害。产品安全性风险物质危害识别表见表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。</w:t>
      </w:r>
    </w:p>
    <w:p>
      <w:pPr>
        <w:pStyle w:val="34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化妆品</w:t>
      </w:r>
      <w:r>
        <w:rPr>
          <w:rFonts w:eastAsia="仿宋_GB2312"/>
          <w:b/>
          <w:bCs/>
          <w:sz w:val="28"/>
          <w:szCs w:val="28"/>
        </w:rPr>
        <w:t>中安全性风险物质危害识别表</w:t>
      </w:r>
    </w:p>
    <w:tbl>
      <w:tblPr>
        <w:tblStyle w:val="13"/>
        <w:tblW w:w="8809" w:type="dxa"/>
        <w:jc w:val="center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1805"/>
        <w:gridCol w:w="4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263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标准中文名称</w:t>
            </w:r>
          </w:p>
        </w:tc>
        <w:tc>
          <w:tcPr>
            <w:tcW w:w="1805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可能含有的风险物质</w:t>
            </w:r>
          </w:p>
        </w:tc>
        <w:tc>
          <w:tcPr>
            <w:tcW w:w="437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丁二醇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1,2-己二醇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对羟基苯乙酮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苯酚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根据日本化妆品标准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17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允许使用的防腐剂中，苯酚在化妆品中的限量为</w:t>
            </w:r>
            <w:r>
              <w:rPr>
                <w:rFonts w:eastAsia="仿宋_GB2312"/>
                <w:kern w:val="0"/>
                <w:sz w:val="24"/>
                <w:szCs w:val="21"/>
              </w:rPr>
              <w:t>0.1g/100g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（1000 ppm）。本配方中5号原料（对羟基苯乙酮）的风险物质苯酚未检出，不具有安全性风险，不会对人体健康造成潜在的危害。检测报告见附录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尿囊素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甘油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18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时，其在化妆品中的存在是安全的。本配方中3号原料（含甘油）的风险物质二甘醇的含量＜</w:t>
            </w:r>
            <w:r>
              <w:rPr>
                <w:rFonts w:eastAsia="仿宋_GB2312"/>
                <w:kern w:val="0"/>
                <w:sz w:val="24"/>
                <w:szCs w:val="21"/>
              </w:rPr>
              <w:t>0.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003</w:t>
            </w:r>
            <w:r>
              <w:rPr>
                <w:rFonts w:eastAsia="仿宋_GB2312"/>
                <w:kern w:val="0"/>
                <w:sz w:val="24"/>
                <w:szCs w:val="21"/>
              </w:rPr>
              <w:t>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，不具有安全性风险，不会对人体健康造成潜在的危害，</w:t>
            </w:r>
            <w:r>
              <w:rPr>
                <w:rFonts w:eastAsia="仿宋_GB2312"/>
                <w:kern w:val="0"/>
                <w:sz w:val="24"/>
                <w:szCs w:val="21"/>
              </w:rPr>
              <w:t>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甘露糖醇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精氨酸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CI 42090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2-,3-和 4-甲酰基苯磺酸、3-(乙基(4-磺苯基)氨基)甲基苯磺酸、无色母体和未磺化芳香伯胺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根据原料供应商提供的质量规格证明，13号原料为符合食品添加剂相应国标所列纯度要求的着色剂。在化妆品中应用时，其可能存在的杂质（风险物质）</w:t>
            </w:r>
            <w:r>
              <w:rPr>
                <w:rFonts w:eastAsia="仿宋_GB2312"/>
                <w:kern w:val="0"/>
                <w:sz w:val="24"/>
                <w:szCs w:val="21"/>
              </w:rPr>
              <w:t>不具有安全性风险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β-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葡聚糖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此外，该产品的检验报告显示其铅、汞、砷、镉检验结果符合《化妆品安全技术规范》（2015年版）表2《化妆品中有害物质限量》的限值要求。</w:t>
      </w:r>
    </w:p>
    <w:p>
      <w:pPr>
        <w:pStyle w:val="12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6" w:name="_Toc180484590"/>
      <w:r>
        <w:rPr>
          <w:rFonts w:ascii="黑体" w:hAnsi="黑体" w:eastAsia="黑体"/>
          <w:b w:val="0"/>
        </w:rPr>
        <w:t>六、风险控制措施或建议</w:t>
      </w:r>
      <w:bookmarkEnd w:id="6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面部精华液，适用于面部，可每日使用</w:t>
      </w:r>
      <w:r>
        <w:rPr>
          <w:rFonts w:eastAsia="仿宋_GB2312"/>
          <w:sz w:val="32"/>
          <w:szCs w:val="28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无强制性安全警示语要求，企业可根据产品实际情况决定是否在包装和标签上添加警示语</w:t>
      </w:r>
      <w:r>
        <w:rPr>
          <w:rFonts w:eastAsia="仿宋_GB2312"/>
          <w:sz w:val="32"/>
          <w:szCs w:val="28"/>
        </w:rPr>
        <w:t>。</w:t>
      </w:r>
    </w:p>
    <w:p>
      <w:pPr>
        <w:pStyle w:val="12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7" w:name="_Toc180484591"/>
      <w:r>
        <w:rPr>
          <w:rFonts w:ascii="黑体" w:hAnsi="黑体" w:eastAsia="黑体"/>
          <w:b w:val="0"/>
        </w:rPr>
        <w:t>七、安全评估结论</w:t>
      </w:r>
      <w:bookmarkEnd w:id="7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面部精华液（驻留</w:t>
      </w:r>
      <w:r>
        <w:rPr>
          <w:rFonts w:eastAsia="仿宋_GB2312"/>
          <w:sz w:val="32"/>
          <w:szCs w:val="28"/>
        </w:rPr>
        <w:t>类化妆品</w:t>
      </w:r>
      <w:r>
        <w:rPr>
          <w:rFonts w:hint="eastAsia" w:eastAsia="仿宋_GB2312"/>
          <w:sz w:val="32"/>
          <w:szCs w:val="28"/>
        </w:rPr>
        <w:t>），适用于面部，可每日使用</w:t>
      </w:r>
      <w:r>
        <w:rPr>
          <w:rFonts w:eastAsia="仿宋_GB2312"/>
          <w:sz w:val="32"/>
          <w:szCs w:val="28"/>
        </w:rPr>
        <w:t>。主要暴露方式为经皮吸收，根据产品的特性，对本产品的暴露评估考虑经皮途径。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通过对产品以下各方面的综合评估：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1、各成分的安全评估结果显示，所有成分在本产品浓度下不会对人体健康产生危害；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2、可能存在的安全性风险物质检测及评估结果显示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不会对人体健康产生危害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3、微生物检验结果显示该产品微生物符合《化妆品安全技术规范》（2015年版）有关要求；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4、有害物质检测结果显示，该产品有害物质含量符合《化妆品安全技术规范》（2015年版）有关要求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5、配方中各成分之间未预见发生有害的相互作用</w:t>
      </w:r>
      <w:r>
        <w:rPr>
          <w:rFonts w:hint="eastAsia" w:eastAsia="仿宋_GB2312"/>
          <w:sz w:val="32"/>
          <w:szCs w:val="28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7、产品的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  <w:lang w:eastAsia="zh-CN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8、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  <w:lang w:eastAsia="zh-CN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仿宋_GB2312"/>
          <w:sz w:val="32"/>
          <w:szCs w:val="28"/>
        </w:rPr>
        <w:t>综上，认为该产品在正常及合理、可预见的使用条件下，不会对人体健康产生危害。</w:t>
      </w:r>
    </w:p>
    <w:p>
      <w:pPr>
        <w:pStyle w:val="12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8" w:name="_Toc180484592"/>
      <w:r>
        <w:rPr>
          <w:rFonts w:ascii="黑体" w:hAnsi="黑体" w:eastAsia="黑体"/>
          <w:b w:val="0"/>
        </w:rPr>
        <w:t>八、安全评估人员的签名</w:t>
      </w:r>
      <w:bookmarkEnd w:id="8"/>
      <w:r>
        <w:rPr>
          <w:rFonts w:ascii="黑体" w:hAnsi="黑体" w:eastAsia="黑体"/>
          <w:b w:val="0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评估人：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日期：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</w:rPr>
        <w:t>地址：</w:t>
      </w:r>
    </w:p>
    <w:p>
      <w:pPr>
        <w:pStyle w:val="12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9" w:name="_Toc180484593"/>
      <w:r>
        <w:rPr>
          <w:rFonts w:ascii="黑体" w:hAnsi="黑体" w:eastAsia="黑体"/>
          <w:b w:val="0"/>
        </w:rPr>
        <w:t>九、安全评估人员简历</w:t>
      </w:r>
      <w:bookmarkEnd w:id="9"/>
    </w:p>
    <w:tbl>
      <w:tblPr>
        <w:tblStyle w:val="1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925"/>
        <w:gridCol w:w="167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从事工作简介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</w:p>
    <w:p>
      <w:pPr>
        <w:pStyle w:val="12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0" w:name="_Toc180484594"/>
      <w:r>
        <w:rPr>
          <w:rFonts w:ascii="黑体" w:hAnsi="黑体" w:eastAsia="黑体"/>
          <w:b w:val="0"/>
        </w:rPr>
        <w:t>十、参考文献</w:t>
      </w:r>
      <w:bookmarkEnd w:id="10"/>
    </w:p>
    <w:p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国家食品药品监督管理总局，关于发布化妆品安全技术规范（2015年版）的公告，2015年第268号</w:t>
      </w:r>
    </w:p>
    <w:p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国家食品药品监督管理总局，关于发布《已使用化妆品原料目录（2021年版）》的公告，2021年第62号</w:t>
      </w:r>
    </w:p>
    <w:p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中国食品药品检定研究院，中检院关于发布《国际权威化妆品安全评估数据索引》和《已上市产品原料使用信息》的通知，发布时间：2024-04-30</w:t>
      </w:r>
    </w:p>
    <w:p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Annual Review of Cosmetic Ingredient Safety Assessment - 2004/2005. International Journal of Toxicology, 2006, 25(Suppl. 2): 1-89</w:t>
      </w:r>
    </w:p>
    <w:p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1,2-Glycols as Used in Cosmetics. International Journal of Toxicology, 2012, 31(Suppl. 2): 147-168</w:t>
      </w:r>
    </w:p>
    <w:p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Hydroxyacetophenone as Used in Cosmetics. Final Report 09/2022 Available from CIR</w:t>
      </w:r>
    </w:p>
    <w:p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Final Report of the Safety Assessment of Allantoin and Its Related Complexes. International Journal of Toxicology, 2010, 29(Suppl. 2): 84-97</w:t>
      </w:r>
    </w:p>
    <w:p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Glycerin as Used in Cosmetics. International Journal of Toxicology, 2019, 38(Suppl. 3): 6-22</w:t>
      </w:r>
    </w:p>
    <w:p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Mannitol, Sorbitol, and Xylitol as Used in Cosmetics. Final Report 12/2019 Available from CIR</w:t>
      </w:r>
    </w:p>
    <w:p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α-Amino Acids as Used in Cosmetics. International Journal of Toxicology, 2013, 32(Suppl. 4): 41-64</w:t>
      </w:r>
    </w:p>
    <w:p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Microbial Polysaccharide Gums as Used in Cosmetics. International Journal of Toxicology, 2016, 35(Suppl. 1): 5-49</w:t>
      </w:r>
    </w:p>
    <w:p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EDTA and Salts. International Journal of Toxicology, 2023, 42(Suppl. 3): 32-36</w:t>
      </w:r>
    </w:p>
    <w:p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Monosaccharides, Disaccharides, and Related Ingredients as Used in Cosmetics. International Journal of Toxicology, 2019, 38(Suppl. 1): 5-38</w:t>
      </w:r>
    </w:p>
    <w:p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Alkyl PEG/PPG Ethers as Used in Cosmetics. International Journal of Toxicology, 2016, 35(Suppl. 1): 60-89</w:t>
      </w:r>
    </w:p>
    <w:p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  <w:sectPr>
          <w:type w:val="continuous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  <w:r>
        <w:rPr>
          <w:rFonts w:eastAsia="仿宋_GB2312"/>
          <w:sz w:val="32"/>
          <w:szCs w:val="28"/>
        </w:rPr>
        <w:t>Safety Assessment of Alkyl Glyceryl Ethers as Used in Cosmetics. International Journal of Toxicology, 2013, 32(Suppl. 3): 5-21</w:t>
      </w:r>
    </w:p>
    <w:p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bookmarkStart w:id="11" w:name="_Toc107652027"/>
      <w:r>
        <w:rPr>
          <w:rFonts w:eastAsia="仿宋_GB2312"/>
          <w:sz w:val="32"/>
          <w:szCs w:val="28"/>
        </w:rPr>
        <w:t>Safety Assessment of Tripeptide-1, Hexapeptide-12, Their Metal Salts and Fatty Acyl Derivatives, and Palmitoyl Tetrapeptide-7 as Used in Cosmetics. International Journal of Toxicology, 2018, 37(Suppl. 3): 90-102</w:t>
      </w:r>
    </w:p>
    <w:p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日本化妆品标准，日本厚生劳动省告示第</w:t>
      </w:r>
      <w:r>
        <w:rPr>
          <w:rFonts w:eastAsia="仿宋_GB2312"/>
          <w:sz w:val="32"/>
          <w:szCs w:val="28"/>
        </w:rPr>
        <w:t>331</w:t>
      </w:r>
      <w:r>
        <w:rPr>
          <w:rFonts w:hint="eastAsia" w:eastAsia="仿宋_GB2312"/>
          <w:sz w:val="32"/>
          <w:szCs w:val="28"/>
        </w:rPr>
        <w:t>号（</w:t>
      </w:r>
      <w:r>
        <w:rPr>
          <w:rFonts w:eastAsia="仿宋_GB2312"/>
          <w:sz w:val="32"/>
          <w:szCs w:val="28"/>
        </w:rPr>
        <w:t>2000</w:t>
      </w:r>
      <w:r>
        <w:rPr>
          <w:rFonts w:hint="eastAsia" w:eastAsia="仿宋_GB2312"/>
          <w:sz w:val="32"/>
          <w:szCs w:val="28"/>
        </w:rPr>
        <w:t>年</w:t>
      </w:r>
      <w:r>
        <w:rPr>
          <w:rFonts w:eastAsia="仿宋_GB2312"/>
          <w:sz w:val="32"/>
          <w:szCs w:val="28"/>
        </w:rPr>
        <w:t>9</w:t>
      </w:r>
      <w:r>
        <w:rPr>
          <w:rFonts w:hint="eastAsia" w:eastAsia="仿宋_GB2312"/>
          <w:sz w:val="32"/>
          <w:szCs w:val="28"/>
        </w:rPr>
        <w:t>月）</w:t>
      </w:r>
    </w:p>
    <w:p>
      <w:pPr>
        <w:pStyle w:val="33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欧洲议会和理事会法规（EC） No.1223/2009</w:t>
      </w:r>
    </w:p>
    <w:p>
      <w:pPr>
        <w:pStyle w:val="12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2" w:name="_Toc180484595"/>
      <w:r>
        <w:rPr>
          <w:rFonts w:ascii="黑体" w:hAnsi="黑体" w:eastAsia="黑体"/>
          <w:b w:val="0"/>
        </w:rPr>
        <w:t>十一、附录</w:t>
      </w:r>
      <w:bookmarkEnd w:id="11"/>
      <w:bookmarkEnd w:id="12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</w:t>
      </w:r>
      <w:r>
        <w:rPr>
          <w:rFonts w:hint="eastAsia" w:eastAsia="仿宋_GB2312"/>
          <w:sz w:val="32"/>
          <w:szCs w:val="28"/>
          <w:lang w:eastAsia="zh-CN"/>
        </w:rPr>
        <w:t>、</w:t>
      </w:r>
      <w:r>
        <w:rPr>
          <w:rFonts w:hint="eastAsia" w:eastAsia="仿宋_GB2312"/>
          <w:sz w:val="32"/>
          <w:szCs w:val="28"/>
        </w:rPr>
        <w:t>原料供应商提供的原料的质量规格证明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</w:rPr>
        <w:t>、风险物质二甘醇和苯酚的评估依据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3</w:t>
      </w:r>
      <w:r>
        <w:rPr>
          <w:rFonts w:hint="eastAsia" w:eastAsia="仿宋_GB2312"/>
          <w:sz w:val="32"/>
          <w:szCs w:val="28"/>
        </w:rPr>
        <w:t>、产品的微生物、有害物质的检测报告（见化妆品备案检验报告</w:t>
      </w:r>
      <w:r>
        <w:rPr>
          <w:rFonts w:hint="eastAsia" w:eastAsia="仿宋_GB2312"/>
          <w:sz w:val="32"/>
          <w:szCs w:val="28"/>
          <w:lang w:val="en-US" w:eastAsia="zh-CN"/>
        </w:rPr>
        <w:t>xx</w:t>
      </w:r>
      <w:r>
        <w:rPr>
          <w:rFonts w:hint="eastAsia" w:eastAsia="仿宋_GB2312"/>
          <w:sz w:val="32"/>
          <w:szCs w:val="28"/>
        </w:rPr>
        <w:t>xxxx）</w:t>
      </w:r>
      <w:r>
        <w:rPr>
          <w:rFonts w:hint="eastAsia" w:eastAsia="仿宋_GB2312"/>
          <w:sz w:val="32"/>
          <w:szCs w:val="28"/>
          <w:lang w:eastAsia="zh-CN"/>
        </w:rPr>
        <w:t>、</w:t>
      </w:r>
      <w:r>
        <w:rPr>
          <w:rFonts w:hint="eastAsia" w:eastAsia="仿宋_GB2312"/>
          <w:sz w:val="32"/>
          <w:szCs w:val="28"/>
        </w:rPr>
        <w:t>xx号</w:t>
      </w:r>
      <w:r>
        <w:rPr>
          <w:rFonts w:hint="eastAsia" w:eastAsia="仿宋_GB2312"/>
          <w:sz w:val="32"/>
          <w:szCs w:val="28"/>
          <w:lang w:val="en-US" w:eastAsia="zh-CN"/>
        </w:rPr>
        <w:t>原料苯酚的检测报告、</w:t>
      </w:r>
      <w:r>
        <w:rPr>
          <w:rFonts w:hint="eastAsia" w:eastAsia="仿宋_GB2312"/>
          <w:sz w:val="32"/>
          <w:szCs w:val="28"/>
        </w:rPr>
        <w:t>xx号</w:t>
      </w:r>
      <w:r>
        <w:rPr>
          <w:rFonts w:hint="eastAsia" w:eastAsia="仿宋_GB2312"/>
          <w:sz w:val="32"/>
          <w:szCs w:val="28"/>
          <w:lang w:val="en-US" w:eastAsia="zh-CN"/>
        </w:rPr>
        <w:t>原料二甘醇的检测报告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4、产品防腐效能评估或测试结论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5、</w:t>
      </w:r>
      <w:r>
        <w:rPr>
          <w:rFonts w:hint="eastAsia" w:eastAsia="仿宋_GB2312"/>
          <w:sz w:val="32"/>
          <w:szCs w:val="28"/>
        </w:rPr>
        <w:t>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6、产品的包装相容性评估或测试结论</w:t>
      </w:r>
    </w:p>
    <w:p>
      <w:pP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附录4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防腐效能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spacing w:after="0" w:line="360" w:lineRule="auto"/>
        <w:rPr>
          <w:rFonts w:ascii="宋体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产品名称：xxxx精华液</w:t>
      </w:r>
    </w:p>
    <w:p>
      <w:pPr>
        <w:pStyle w:val="39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color w:val="7F7F7F" w:themeColor="background1" w:themeShade="80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9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9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自建测试或评估方法对化妆品的防腐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效能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9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>
      <w:pPr>
        <w:pStyle w:val="39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(包含试验起止日期、试验样品、测试菌株、中和剂、试验结果等内容描述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评估结论：</w:t>
      </w:r>
    </w:p>
    <w:p>
      <w:pPr>
        <w:pStyle w:val="39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173081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>
      <w:pPr>
        <w:pStyle w:val="39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-1307544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>
      <w:pPr>
        <w:spacing w:after="0"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对于本产品防腐有效性的评估过程及评估结论的科学性、准确性和真实性负责。</w:t>
      </w:r>
    </w:p>
    <w:p>
      <w:pPr>
        <w:spacing w:before="0" w:after="0" w:line="400" w:lineRule="exact"/>
        <w:ind w:right="280"/>
        <w:jc w:val="right"/>
        <w:rPr>
          <w:rFonts w:ascii="宋体" w:hAnsi="宋体" w:cs="Times New Roman"/>
          <w:sz w:val="28"/>
          <w:szCs w:val="28"/>
        </w:rPr>
      </w:pP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附录5</w:t>
      </w:r>
    </w:p>
    <w:p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产品名称：xxxx精华液</w:t>
      </w:r>
    </w:p>
    <w:p>
      <w:pPr>
        <w:pStyle w:val="39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9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-17282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hint="eastAsia"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hint="eastAsia"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hint="eastAsia" w:eastAsia="宋体" w:cs="Times New Roman (正文 CS 字体)"/>
          <w:sz w:val="28"/>
          <w:szCs w:val="28"/>
        </w:rPr>
        <w:t>、国家标准、行业标准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或</w:t>
      </w:r>
      <w:r>
        <w:rPr>
          <w:rFonts w:hint="eastAsia" w:eastAsia="宋体" w:cs="Times New Roman (正文 CS 字体)"/>
          <w:sz w:val="28"/>
          <w:szCs w:val="28"/>
        </w:rPr>
        <w:t>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hint="eastAsia" w:eastAsia="宋体" w:cs="Times New Roman (正文 CS 字体)"/>
          <w:sz w:val="28"/>
          <w:szCs w:val="28"/>
        </w:rPr>
        <w:t>开展的相关研究（企业提供参考具体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文件</w:t>
      </w:r>
      <w:r>
        <w:rPr>
          <w:rFonts w:hint="eastAsia" w:eastAsia="宋体" w:cs="Times New Roman (正文 CS 字体)"/>
          <w:sz w:val="28"/>
          <w:szCs w:val="28"/>
        </w:rPr>
        <w:t>名称和编号）；</w:t>
      </w:r>
    </w:p>
    <w:p>
      <w:pPr>
        <w:pStyle w:val="39"/>
        <w:suppressLineNumbers w:val="0"/>
        <w:bidi w:val="0"/>
        <w:spacing w:before="0" w:beforeAutospacing="0" w:after="0" w:afterAutospacing="0" w:line="360" w:lineRule="auto"/>
        <w:ind w:left="270" w:right="0"/>
        <w:jc w:val="left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1862654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MS Gothic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自建测试或评估方法对化妆品的稳定性开展的研究报告；方法经过企业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</w:t>
      </w:r>
      <w:r>
        <w:rPr>
          <w:rFonts w:eastAsia="宋体" w:cs="Times New Roman (正文 CS 字体)"/>
          <w:sz w:val="28"/>
          <w:szCs w:val="28"/>
          <w:lang w:eastAsia="zh-CN"/>
        </w:rPr>
        <w:t>（企业提供内部标准操作规程</w:t>
      </w:r>
      <w:r>
        <w:rPr>
          <w:rFonts w:hint="eastAsia" w:eastAsia="宋体" w:cs="Times New Roman (正文 CS 字体)"/>
          <w:sz w:val="28"/>
          <w:szCs w:val="28"/>
        </w:rPr>
        <w:t>名称和编号</w:t>
      </w:r>
      <w:r>
        <w:rPr>
          <w:rFonts w:eastAsia="宋体" w:cs="Times New Roman (正文 CS 字体)"/>
          <w:sz w:val="28"/>
          <w:szCs w:val="28"/>
          <w:lang w:eastAsia="zh-CN"/>
        </w:rPr>
        <w:t>）</w:t>
      </w:r>
      <w:r>
        <w:rPr>
          <w:rFonts w:hint="eastAsia" w:eastAsia="宋体" w:cs="Times New Roman (正文 CS 字体)"/>
          <w:sz w:val="28"/>
          <w:szCs w:val="28"/>
          <w:lang w:eastAsia="zh-CN"/>
        </w:rPr>
        <w:t>；</w:t>
      </w:r>
    </w:p>
    <w:p>
      <w:pPr>
        <w:pStyle w:val="39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61312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其它：（</w:t>
      </w:r>
      <w:r>
        <w:rPr>
          <w:rFonts w:hint="eastAsia" w:eastAsia="宋体" w:cs="Times New Roman (正文 CS 字体)"/>
          <w:sz w:val="28"/>
          <w:szCs w:val="28"/>
        </w:rPr>
        <w:t>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eastAsia="宋体" w:cs="Times New Roman (正文 CS 字体)"/>
          <w:sz w:val="28"/>
          <w:szCs w:val="28"/>
        </w:rPr>
        <w:t>）</w:t>
      </w:r>
    </w:p>
    <w:p>
      <w:pPr>
        <w:pStyle w:val="39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(包含试验起止日期，试验样品、试验方法、试验考察项目、试验结果等内容描述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/>
          <w:b/>
          <w:bCs/>
          <w:sz w:val="28"/>
          <w:szCs w:val="28"/>
        </w:rPr>
        <w:t>评估结论：</w:t>
      </w:r>
      <w:r>
        <w:rPr>
          <w:rFonts w:ascii="宋体" w:hAnsi="宋体"/>
          <w:sz w:val="28"/>
          <w:szCs w:val="28"/>
        </w:rPr>
        <w:t>经对化妆品稳定性研究结果进行系统分析，结合产品特性和产品配方等进行综合研判，基于现有的知识水平，在正常可预见的存储条件下，本产品的稳定性可达XX个月。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对于本产品稳定性的评估过程及评估结论的科学性、准确性和真实性负责。</w:t>
      </w:r>
    </w:p>
    <w:p>
      <w:pPr>
        <w:spacing w:after="0" w:line="400" w:lineRule="exact"/>
        <w:ind w:right="880"/>
        <w:rPr>
          <w:rFonts w:ascii="宋体" w:hAnsi="宋体" w:cs="Times New Roman"/>
          <w:sz w:val="32"/>
          <w:szCs w:val="32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附录6</w:t>
      </w:r>
    </w:p>
    <w:p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包材相容性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产品名称：xxxx精华液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9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9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与包材相容性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9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>
      <w:pPr>
        <w:pStyle w:val="39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评估结论：</w:t>
      </w:r>
      <w:r>
        <w:rPr>
          <w:rFonts w:hint="eastAsia" w:ascii="宋体" w:hAnsi="宋体" w:eastAsia="宋体" w:cs="宋体"/>
          <w:sz w:val="28"/>
          <w:szCs w:val="28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对于本声明中的评估过程及评估结论的科学性、准确性和真实性负责。</w:t>
      </w:r>
    </w:p>
    <w:p>
      <w:pPr>
        <w:spacing w:after="0" w:line="400" w:lineRule="exact"/>
        <w:jc w:val="both"/>
        <w:rPr>
          <w:rFonts w:ascii="宋体" w:hAnsi="宋体" w:cs="Times New Roman"/>
          <w:sz w:val="28"/>
          <w:szCs w:val="28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after="0" w:line="400" w:lineRule="exact"/>
        <w:jc w:val="right"/>
        <w:rPr>
          <w:rFonts w:hint="eastAsia" w:eastAsia="仿宋_GB2312"/>
          <w:sz w:val="32"/>
          <w:szCs w:val="28"/>
        </w:rPr>
      </w:pPr>
      <w:r>
        <w:rPr>
          <w:rFonts w:cs="Times New Roman"/>
          <w:sz w:val="28"/>
          <w:szCs w:val="28"/>
        </w:rPr>
        <w:t>20XX年XX月XX日</w:t>
      </w:r>
    </w:p>
    <w:sectPr>
      <w:headerReference r:id="rId5" w:type="first"/>
      <w:footerReference r:id="rId6" w:type="default"/>
      <w:headerReference r:id="rId4" w:type="even"/>
      <w:type w:val="continuous"/>
      <w:pgSz w:w="11906" w:h="16838"/>
      <w:pgMar w:top="1928" w:right="1531" w:bottom="1814" w:left="1531" w:header="851" w:footer="68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</w:p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_GB2312" w:hAnsi="仿宋_GB2312" w:eastAsia="仿宋_GB2312" w:cs="仿宋_GB2312"/>
        <w:kern w:val="0"/>
      </w:rPr>
    </w:pPr>
  </w:p>
  <w:p>
    <w:pPr>
      <w:rPr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9540D"/>
    <w:multiLevelType w:val="multilevel"/>
    <w:tmpl w:val="6A89540D"/>
    <w:lvl w:ilvl="0" w:tentative="0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21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nst_PassKey" w:val="防伪码"/>
    <w:docVar w:name="Const_PrintDate" w:val="打印日期"/>
    <w:docVar w:name="Field_IndexNO" w:val="报告编号"/>
  </w:docVars>
  <w:rsids>
    <w:rsidRoot w:val="00172A27"/>
    <w:rsid w:val="00000423"/>
    <w:rsid w:val="0000265C"/>
    <w:rsid w:val="0000593A"/>
    <w:rsid w:val="000107C8"/>
    <w:rsid w:val="00010DCC"/>
    <w:rsid w:val="00011934"/>
    <w:rsid w:val="00014F00"/>
    <w:rsid w:val="00016D27"/>
    <w:rsid w:val="00016E93"/>
    <w:rsid w:val="00016EC1"/>
    <w:rsid w:val="00020F69"/>
    <w:rsid w:val="0002242D"/>
    <w:rsid w:val="00025396"/>
    <w:rsid w:val="00026FD8"/>
    <w:rsid w:val="000303DA"/>
    <w:rsid w:val="00031A5E"/>
    <w:rsid w:val="00034301"/>
    <w:rsid w:val="00041219"/>
    <w:rsid w:val="00051008"/>
    <w:rsid w:val="00051450"/>
    <w:rsid w:val="00051D8F"/>
    <w:rsid w:val="0005289C"/>
    <w:rsid w:val="00054A06"/>
    <w:rsid w:val="00054E53"/>
    <w:rsid w:val="000575FD"/>
    <w:rsid w:val="00061F9B"/>
    <w:rsid w:val="0006364D"/>
    <w:rsid w:val="00064261"/>
    <w:rsid w:val="00064E34"/>
    <w:rsid w:val="000653C6"/>
    <w:rsid w:val="000659CE"/>
    <w:rsid w:val="00066491"/>
    <w:rsid w:val="0006686B"/>
    <w:rsid w:val="0007030E"/>
    <w:rsid w:val="0007052E"/>
    <w:rsid w:val="00071507"/>
    <w:rsid w:val="00072023"/>
    <w:rsid w:val="00072DF3"/>
    <w:rsid w:val="00074936"/>
    <w:rsid w:val="00074A1C"/>
    <w:rsid w:val="00075A60"/>
    <w:rsid w:val="000763D4"/>
    <w:rsid w:val="000771CE"/>
    <w:rsid w:val="00090237"/>
    <w:rsid w:val="0009104F"/>
    <w:rsid w:val="000910AE"/>
    <w:rsid w:val="00094984"/>
    <w:rsid w:val="00095CA2"/>
    <w:rsid w:val="000960FD"/>
    <w:rsid w:val="000A2989"/>
    <w:rsid w:val="000A2ADC"/>
    <w:rsid w:val="000A4BD0"/>
    <w:rsid w:val="000A5F93"/>
    <w:rsid w:val="000A6306"/>
    <w:rsid w:val="000B0A31"/>
    <w:rsid w:val="000B1DB8"/>
    <w:rsid w:val="000C089C"/>
    <w:rsid w:val="000C6B84"/>
    <w:rsid w:val="000C74EC"/>
    <w:rsid w:val="000D06C6"/>
    <w:rsid w:val="000D1225"/>
    <w:rsid w:val="000D128C"/>
    <w:rsid w:val="000D1702"/>
    <w:rsid w:val="000D2D36"/>
    <w:rsid w:val="000D3B40"/>
    <w:rsid w:val="000D501F"/>
    <w:rsid w:val="000D63FE"/>
    <w:rsid w:val="000E0170"/>
    <w:rsid w:val="000E1606"/>
    <w:rsid w:val="000E1732"/>
    <w:rsid w:val="000E2760"/>
    <w:rsid w:val="000E34A9"/>
    <w:rsid w:val="000E4623"/>
    <w:rsid w:val="000F0886"/>
    <w:rsid w:val="000F6C4E"/>
    <w:rsid w:val="000F70EF"/>
    <w:rsid w:val="001000C4"/>
    <w:rsid w:val="00101444"/>
    <w:rsid w:val="00101F08"/>
    <w:rsid w:val="001039CB"/>
    <w:rsid w:val="001102C1"/>
    <w:rsid w:val="00112D8C"/>
    <w:rsid w:val="00112EA9"/>
    <w:rsid w:val="00116322"/>
    <w:rsid w:val="0011640B"/>
    <w:rsid w:val="001171E8"/>
    <w:rsid w:val="001200E6"/>
    <w:rsid w:val="0012617C"/>
    <w:rsid w:val="00126D6E"/>
    <w:rsid w:val="00130592"/>
    <w:rsid w:val="00133D55"/>
    <w:rsid w:val="001350EC"/>
    <w:rsid w:val="00136AA0"/>
    <w:rsid w:val="00136D88"/>
    <w:rsid w:val="00136F6B"/>
    <w:rsid w:val="00141DB5"/>
    <w:rsid w:val="00144732"/>
    <w:rsid w:val="00145D63"/>
    <w:rsid w:val="00146B82"/>
    <w:rsid w:val="001476A0"/>
    <w:rsid w:val="0014799B"/>
    <w:rsid w:val="00150568"/>
    <w:rsid w:val="001513C0"/>
    <w:rsid w:val="00151F78"/>
    <w:rsid w:val="001548CA"/>
    <w:rsid w:val="00155C30"/>
    <w:rsid w:val="001562A7"/>
    <w:rsid w:val="00156CD0"/>
    <w:rsid w:val="00157D65"/>
    <w:rsid w:val="00160B02"/>
    <w:rsid w:val="00162988"/>
    <w:rsid w:val="00162F89"/>
    <w:rsid w:val="00164368"/>
    <w:rsid w:val="00164840"/>
    <w:rsid w:val="00165A93"/>
    <w:rsid w:val="00165AD2"/>
    <w:rsid w:val="00166948"/>
    <w:rsid w:val="00166CB5"/>
    <w:rsid w:val="0017149E"/>
    <w:rsid w:val="00172A27"/>
    <w:rsid w:val="00173217"/>
    <w:rsid w:val="00175CEF"/>
    <w:rsid w:val="00176FF9"/>
    <w:rsid w:val="0017724C"/>
    <w:rsid w:val="0018329D"/>
    <w:rsid w:val="001838F7"/>
    <w:rsid w:val="00183DA8"/>
    <w:rsid w:val="00186786"/>
    <w:rsid w:val="00190303"/>
    <w:rsid w:val="0019201F"/>
    <w:rsid w:val="00194713"/>
    <w:rsid w:val="001977FE"/>
    <w:rsid w:val="001A0666"/>
    <w:rsid w:val="001A0B67"/>
    <w:rsid w:val="001A2E79"/>
    <w:rsid w:val="001A43D5"/>
    <w:rsid w:val="001A579A"/>
    <w:rsid w:val="001A6B1A"/>
    <w:rsid w:val="001B1E78"/>
    <w:rsid w:val="001B2BC2"/>
    <w:rsid w:val="001B5ED9"/>
    <w:rsid w:val="001B61C4"/>
    <w:rsid w:val="001B7393"/>
    <w:rsid w:val="001B7562"/>
    <w:rsid w:val="001C035F"/>
    <w:rsid w:val="001C3EB6"/>
    <w:rsid w:val="001C3EBC"/>
    <w:rsid w:val="001C478D"/>
    <w:rsid w:val="001C492C"/>
    <w:rsid w:val="001C5EC1"/>
    <w:rsid w:val="001C66C6"/>
    <w:rsid w:val="001D021F"/>
    <w:rsid w:val="001D3923"/>
    <w:rsid w:val="001D59EC"/>
    <w:rsid w:val="001D605D"/>
    <w:rsid w:val="001D6CFC"/>
    <w:rsid w:val="001D7B00"/>
    <w:rsid w:val="001E098D"/>
    <w:rsid w:val="001E10BD"/>
    <w:rsid w:val="001E6B3D"/>
    <w:rsid w:val="001F094A"/>
    <w:rsid w:val="001F1FF8"/>
    <w:rsid w:val="001F2B35"/>
    <w:rsid w:val="001F3612"/>
    <w:rsid w:val="001F3FB0"/>
    <w:rsid w:val="00200068"/>
    <w:rsid w:val="00200400"/>
    <w:rsid w:val="002015A8"/>
    <w:rsid w:val="0020242C"/>
    <w:rsid w:val="00203CD3"/>
    <w:rsid w:val="00204B69"/>
    <w:rsid w:val="002056FA"/>
    <w:rsid w:val="00205EC7"/>
    <w:rsid w:val="0021054C"/>
    <w:rsid w:val="00210B6E"/>
    <w:rsid w:val="0021455C"/>
    <w:rsid w:val="002160B6"/>
    <w:rsid w:val="002164D2"/>
    <w:rsid w:val="00216C7B"/>
    <w:rsid w:val="0022067E"/>
    <w:rsid w:val="00221D9A"/>
    <w:rsid w:val="00223952"/>
    <w:rsid w:val="002300C1"/>
    <w:rsid w:val="00230CD9"/>
    <w:rsid w:val="00231834"/>
    <w:rsid w:val="0023308A"/>
    <w:rsid w:val="00242B2A"/>
    <w:rsid w:val="002433A8"/>
    <w:rsid w:val="002450F3"/>
    <w:rsid w:val="002479BF"/>
    <w:rsid w:val="00247A42"/>
    <w:rsid w:val="00247F9A"/>
    <w:rsid w:val="00250746"/>
    <w:rsid w:val="00250D45"/>
    <w:rsid w:val="002531BF"/>
    <w:rsid w:val="00253B71"/>
    <w:rsid w:val="002550E5"/>
    <w:rsid w:val="00256D39"/>
    <w:rsid w:val="00261690"/>
    <w:rsid w:val="002619A8"/>
    <w:rsid w:val="00261C1E"/>
    <w:rsid w:val="00266341"/>
    <w:rsid w:val="002775A6"/>
    <w:rsid w:val="00277826"/>
    <w:rsid w:val="00277D15"/>
    <w:rsid w:val="0028164C"/>
    <w:rsid w:val="002818FC"/>
    <w:rsid w:val="00282590"/>
    <w:rsid w:val="00284E2A"/>
    <w:rsid w:val="00285B72"/>
    <w:rsid w:val="002874CF"/>
    <w:rsid w:val="00290083"/>
    <w:rsid w:val="00290C0B"/>
    <w:rsid w:val="002918A0"/>
    <w:rsid w:val="002944C5"/>
    <w:rsid w:val="002973E1"/>
    <w:rsid w:val="002A030C"/>
    <w:rsid w:val="002A28C1"/>
    <w:rsid w:val="002A45A8"/>
    <w:rsid w:val="002A510C"/>
    <w:rsid w:val="002A7F53"/>
    <w:rsid w:val="002B219C"/>
    <w:rsid w:val="002B30ED"/>
    <w:rsid w:val="002B37EE"/>
    <w:rsid w:val="002B62A4"/>
    <w:rsid w:val="002B6D8D"/>
    <w:rsid w:val="002C17C5"/>
    <w:rsid w:val="002C4E4A"/>
    <w:rsid w:val="002C4E9E"/>
    <w:rsid w:val="002C55DF"/>
    <w:rsid w:val="002C5CC5"/>
    <w:rsid w:val="002D14B4"/>
    <w:rsid w:val="002D19AA"/>
    <w:rsid w:val="002D3E7F"/>
    <w:rsid w:val="002D3F6C"/>
    <w:rsid w:val="002D5EC4"/>
    <w:rsid w:val="002D65B7"/>
    <w:rsid w:val="002E033A"/>
    <w:rsid w:val="002E161E"/>
    <w:rsid w:val="002E30C8"/>
    <w:rsid w:val="002E5B8C"/>
    <w:rsid w:val="002F007F"/>
    <w:rsid w:val="002F2964"/>
    <w:rsid w:val="002F2CC3"/>
    <w:rsid w:val="002F3A72"/>
    <w:rsid w:val="002F4896"/>
    <w:rsid w:val="002F4EB4"/>
    <w:rsid w:val="002F75E3"/>
    <w:rsid w:val="00300D34"/>
    <w:rsid w:val="0030392D"/>
    <w:rsid w:val="00304236"/>
    <w:rsid w:val="00305019"/>
    <w:rsid w:val="00306586"/>
    <w:rsid w:val="00306C4F"/>
    <w:rsid w:val="00307C46"/>
    <w:rsid w:val="003112CA"/>
    <w:rsid w:val="00315FC0"/>
    <w:rsid w:val="003168E8"/>
    <w:rsid w:val="00317029"/>
    <w:rsid w:val="00320F29"/>
    <w:rsid w:val="00322672"/>
    <w:rsid w:val="00323882"/>
    <w:rsid w:val="00323910"/>
    <w:rsid w:val="00323FD5"/>
    <w:rsid w:val="00325FF7"/>
    <w:rsid w:val="003265F9"/>
    <w:rsid w:val="00327DA1"/>
    <w:rsid w:val="00330E63"/>
    <w:rsid w:val="00331B0B"/>
    <w:rsid w:val="00332CF7"/>
    <w:rsid w:val="003330A7"/>
    <w:rsid w:val="003341D7"/>
    <w:rsid w:val="00335C90"/>
    <w:rsid w:val="0034300B"/>
    <w:rsid w:val="003446FB"/>
    <w:rsid w:val="003479F0"/>
    <w:rsid w:val="00347BBA"/>
    <w:rsid w:val="00347CFB"/>
    <w:rsid w:val="0035031B"/>
    <w:rsid w:val="00350F10"/>
    <w:rsid w:val="003510BE"/>
    <w:rsid w:val="00351116"/>
    <w:rsid w:val="0035163B"/>
    <w:rsid w:val="00352FFE"/>
    <w:rsid w:val="003533ED"/>
    <w:rsid w:val="00357300"/>
    <w:rsid w:val="00357FE6"/>
    <w:rsid w:val="00360EF3"/>
    <w:rsid w:val="0036326B"/>
    <w:rsid w:val="0036351E"/>
    <w:rsid w:val="00363BC0"/>
    <w:rsid w:val="00365089"/>
    <w:rsid w:val="003678FE"/>
    <w:rsid w:val="00372FA6"/>
    <w:rsid w:val="00373132"/>
    <w:rsid w:val="003743A5"/>
    <w:rsid w:val="00374432"/>
    <w:rsid w:val="003754B9"/>
    <w:rsid w:val="00376709"/>
    <w:rsid w:val="0038305D"/>
    <w:rsid w:val="0038307F"/>
    <w:rsid w:val="0038489B"/>
    <w:rsid w:val="00390074"/>
    <w:rsid w:val="0039379B"/>
    <w:rsid w:val="00394B1B"/>
    <w:rsid w:val="003A1C23"/>
    <w:rsid w:val="003A236C"/>
    <w:rsid w:val="003A5842"/>
    <w:rsid w:val="003A5C12"/>
    <w:rsid w:val="003A5C4E"/>
    <w:rsid w:val="003B0962"/>
    <w:rsid w:val="003B1685"/>
    <w:rsid w:val="003B18EB"/>
    <w:rsid w:val="003B35CD"/>
    <w:rsid w:val="003B39B2"/>
    <w:rsid w:val="003B3F47"/>
    <w:rsid w:val="003B452F"/>
    <w:rsid w:val="003B5BFE"/>
    <w:rsid w:val="003C106F"/>
    <w:rsid w:val="003C2192"/>
    <w:rsid w:val="003C2496"/>
    <w:rsid w:val="003C4998"/>
    <w:rsid w:val="003C4A36"/>
    <w:rsid w:val="003C561C"/>
    <w:rsid w:val="003D08E2"/>
    <w:rsid w:val="003D1601"/>
    <w:rsid w:val="003D272A"/>
    <w:rsid w:val="003D6C28"/>
    <w:rsid w:val="003D78E8"/>
    <w:rsid w:val="003E0F00"/>
    <w:rsid w:val="003E2BB6"/>
    <w:rsid w:val="003E5138"/>
    <w:rsid w:val="003E57A2"/>
    <w:rsid w:val="003E7CB8"/>
    <w:rsid w:val="003F23D1"/>
    <w:rsid w:val="003F43B3"/>
    <w:rsid w:val="003F4D3E"/>
    <w:rsid w:val="003F530D"/>
    <w:rsid w:val="003F53AF"/>
    <w:rsid w:val="003F553E"/>
    <w:rsid w:val="003F57F7"/>
    <w:rsid w:val="00401515"/>
    <w:rsid w:val="00402CF4"/>
    <w:rsid w:val="004037C9"/>
    <w:rsid w:val="004040ED"/>
    <w:rsid w:val="004044A8"/>
    <w:rsid w:val="004051C5"/>
    <w:rsid w:val="00405AE4"/>
    <w:rsid w:val="00406877"/>
    <w:rsid w:val="00410D1B"/>
    <w:rsid w:val="0041155C"/>
    <w:rsid w:val="004140AD"/>
    <w:rsid w:val="00414507"/>
    <w:rsid w:val="00415656"/>
    <w:rsid w:val="00420A79"/>
    <w:rsid w:val="004218DC"/>
    <w:rsid w:val="00422184"/>
    <w:rsid w:val="004221AF"/>
    <w:rsid w:val="004277BF"/>
    <w:rsid w:val="00430EA0"/>
    <w:rsid w:val="00432281"/>
    <w:rsid w:val="004329F7"/>
    <w:rsid w:val="00432EB8"/>
    <w:rsid w:val="0044543F"/>
    <w:rsid w:val="00450EBF"/>
    <w:rsid w:val="00453B18"/>
    <w:rsid w:val="00453F14"/>
    <w:rsid w:val="00455B79"/>
    <w:rsid w:val="00456F27"/>
    <w:rsid w:val="004624EC"/>
    <w:rsid w:val="00463C1C"/>
    <w:rsid w:val="00464CDD"/>
    <w:rsid w:val="00465C54"/>
    <w:rsid w:val="004668D0"/>
    <w:rsid w:val="00475219"/>
    <w:rsid w:val="004773D3"/>
    <w:rsid w:val="004778B5"/>
    <w:rsid w:val="004804E8"/>
    <w:rsid w:val="004828E7"/>
    <w:rsid w:val="0048576C"/>
    <w:rsid w:val="00487797"/>
    <w:rsid w:val="004879B6"/>
    <w:rsid w:val="004948AE"/>
    <w:rsid w:val="00494AF9"/>
    <w:rsid w:val="004A09AF"/>
    <w:rsid w:val="004A1724"/>
    <w:rsid w:val="004A3C7E"/>
    <w:rsid w:val="004A48F4"/>
    <w:rsid w:val="004A4F0C"/>
    <w:rsid w:val="004A5C4E"/>
    <w:rsid w:val="004A779F"/>
    <w:rsid w:val="004B0552"/>
    <w:rsid w:val="004B24D1"/>
    <w:rsid w:val="004B2860"/>
    <w:rsid w:val="004B686A"/>
    <w:rsid w:val="004C3D20"/>
    <w:rsid w:val="004C64C3"/>
    <w:rsid w:val="004D5604"/>
    <w:rsid w:val="004D7220"/>
    <w:rsid w:val="004D7576"/>
    <w:rsid w:val="004E0962"/>
    <w:rsid w:val="004E4D8B"/>
    <w:rsid w:val="004E6261"/>
    <w:rsid w:val="004E626F"/>
    <w:rsid w:val="004F073A"/>
    <w:rsid w:val="004F1E11"/>
    <w:rsid w:val="004F27D3"/>
    <w:rsid w:val="004F4265"/>
    <w:rsid w:val="004F441F"/>
    <w:rsid w:val="004F596D"/>
    <w:rsid w:val="0050179C"/>
    <w:rsid w:val="00502A2E"/>
    <w:rsid w:val="00504198"/>
    <w:rsid w:val="00504AA5"/>
    <w:rsid w:val="00504F09"/>
    <w:rsid w:val="00505E41"/>
    <w:rsid w:val="005126CB"/>
    <w:rsid w:val="0051425A"/>
    <w:rsid w:val="00515060"/>
    <w:rsid w:val="0051707A"/>
    <w:rsid w:val="005172D2"/>
    <w:rsid w:val="00520E07"/>
    <w:rsid w:val="005236AA"/>
    <w:rsid w:val="00525512"/>
    <w:rsid w:val="0052633A"/>
    <w:rsid w:val="00527DC8"/>
    <w:rsid w:val="00530844"/>
    <w:rsid w:val="005314E4"/>
    <w:rsid w:val="0053181E"/>
    <w:rsid w:val="005324CC"/>
    <w:rsid w:val="005325CF"/>
    <w:rsid w:val="00534504"/>
    <w:rsid w:val="005349F5"/>
    <w:rsid w:val="0053605C"/>
    <w:rsid w:val="0054081D"/>
    <w:rsid w:val="00540BAF"/>
    <w:rsid w:val="005410CE"/>
    <w:rsid w:val="005418E4"/>
    <w:rsid w:val="00544FBE"/>
    <w:rsid w:val="005455A8"/>
    <w:rsid w:val="00545FCC"/>
    <w:rsid w:val="0054615C"/>
    <w:rsid w:val="00551026"/>
    <w:rsid w:val="00551204"/>
    <w:rsid w:val="00551C18"/>
    <w:rsid w:val="00561E24"/>
    <w:rsid w:val="00561F7A"/>
    <w:rsid w:val="0056324D"/>
    <w:rsid w:val="0056422D"/>
    <w:rsid w:val="00564625"/>
    <w:rsid w:val="00564D6B"/>
    <w:rsid w:val="0056661D"/>
    <w:rsid w:val="00567DA8"/>
    <w:rsid w:val="00571F7F"/>
    <w:rsid w:val="00573488"/>
    <w:rsid w:val="00573B52"/>
    <w:rsid w:val="00577A97"/>
    <w:rsid w:val="00582889"/>
    <w:rsid w:val="005837AF"/>
    <w:rsid w:val="0058521C"/>
    <w:rsid w:val="00586EF5"/>
    <w:rsid w:val="00590490"/>
    <w:rsid w:val="00592189"/>
    <w:rsid w:val="00593C49"/>
    <w:rsid w:val="005946B9"/>
    <w:rsid w:val="00597253"/>
    <w:rsid w:val="005A027C"/>
    <w:rsid w:val="005A0EDB"/>
    <w:rsid w:val="005A3436"/>
    <w:rsid w:val="005A5F3A"/>
    <w:rsid w:val="005A5F66"/>
    <w:rsid w:val="005B0A4A"/>
    <w:rsid w:val="005B1456"/>
    <w:rsid w:val="005B1B7A"/>
    <w:rsid w:val="005B2A3E"/>
    <w:rsid w:val="005B3118"/>
    <w:rsid w:val="005B404F"/>
    <w:rsid w:val="005B5A22"/>
    <w:rsid w:val="005B76A1"/>
    <w:rsid w:val="005B77E9"/>
    <w:rsid w:val="005C2C45"/>
    <w:rsid w:val="005C644C"/>
    <w:rsid w:val="005D20CB"/>
    <w:rsid w:val="005D3172"/>
    <w:rsid w:val="005D4361"/>
    <w:rsid w:val="005D5D26"/>
    <w:rsid w:val="005D7361"/>
    <w:rsid w:val="005D7901"/>
    <w:rsid w:val="005D7D24"/>
    <w:rsid w:val="005E1942"/>
    <w:rsid w:val="005E216A"/>
    <w:rsid w:val="005E37BD"/>
    <w:rsid w:val="005E4F82"/>
    <w:rsid w:val="005E6E42"/>
    <w:rsid w:val="005E7595"/>
    <w:rsid w:val="005F0F7D"/>
    <w:rsid w:val="005F1F22"/>
    <w:rsid w:val="005F2A0B"/>
    <w:rsid w:val="005F2E52"/>
    <w:rsid w:val="005F2FEF"/>
    <w:rsid w:val="005F3471"/>
    <w:rsid w:val="005F4ADA"/>
    <w:rsid w:val="005F6A21"/>
    <w:rsid w:val="0060055D"/>
    <w:rsid w:val="00602F8D"/>
    <w:rsid w:val="00603F4C"/>
    <w:rsid w:val="006052CA"/>
    <w:rsid w:val="00605AAC"/>
    <w:rsid w:val="006073F1"/>
    <w:rsid w:val="00607B0F"/>
    <w:rsid w:val="00607CDB"/>
    <w:rsid w:val="0061102C"/>
    <w:rsid w:val="00611880"/>
    <w:rsid w:val="00612531"/>
    <w:rsid w:val="006129A4"/>
    <w:rsid w:val="00614906"/>
    <w:rsid w:val="006150B1"/>
    <w:rsid w:val="0061555E"/>
    <w:rsid w:val="00621A59"/>
    <w:rsid w:val="0062479E"/>
    <w:rsid w:val="00624F8E"/>
    <w:rsid w:val="006266D9"/>
    <w:rsid w:val="00633AC5"/>
    <w:rsid w:val="0063564D"/>
    <w:rsid w:val="006363C3"/>
    <w:rsid w:val="006367A0"/>
    <w:rsid w:val="00637F3D"/>
    <w:rsid w:val="0064255D"/>
    <w:rsid w:val="006428CA"/>
    <w:rsid w:val="0064375E"/>
    <w:rsid w:val="00644387"/>
    <w:rsid w:val="00644B6E"/>
    <w:rsid w:val="00645652"/>
    <w:rsid w:val="006458A2"/>
    <w:rsid w:val="00647B08"/>
    <w:rsid w:val="00650B63"/>
    <w:rsid w:val="00655FFA"/>
    <w:rsid w:val="0066092B"/>
    <w:rsid w:val="00660AF3"/>
    <w:rsid w:val="00661793"/>
    <w:rsid w:val="00661DA7"/>
    <w:rsid w:val="006633E3"/>
    <w:rsid w:val="00665C3C"/>
    <w:rsid w:val="0067038A"/>
    <w:rsid w:val="0067076C"/>
    <w:rsid w:val="00673EAB"/>
    <w:rsid w:val="00676D1A"/>
    <w:rsid w:val="0068034C"/>
    <w:rsid w:val="0068129E"/>
    <w:rsid w:val="006815FB"/>
    <w:rsid w:val="00682DE1"/>
    <w:rsid w:val="00684996"/>
    <w:rsid w:val="00686078"/>
    <w:rsid w:val="0068649E"/>
    <w:rsid w:val="0068761C"/>
    <w:rsid w:val="006877FF"/>
    <w:rsid w:val="0068783E"/>
    <w:rsid w:val="00687F54"/>
    <w:rsid w:val="00690209"/>
    <w:rsid w:val="00693537"/>
    <w:rsid w:val="00697089"/>
    <w:rsid w:val="006A070B"/>
    <w:rsid w:val="006A0F47"/>
    <w:rsid w:val="006A15C9"/>
    <w:rsid w:val="006A4685"/>
    <w:rsid w:val="006A5572"/>
    <w:rsid w:val="006A5EAF"/>
    <w:rsid w:val="006A68D8"/>
    <w:rsid w:val="006A6D41"/>
    <w:rsid w:val="006A7D8E"/>
    <w:rsid w:val="006B0181"/>
    <w:rsid w:val="006B1A95"/>
    <w:rsid w:val="006B1BF1"/>
    <w:rsid w:val="006B3E40"/>
    <w:rsid w:val="006B3E76"/>
    <w:rsid w:val="006B5756"/>
    <w:rsid w:val="006B6C39"/>
    <w:rsid w:val="006B77DB"/>
    <w:rsid w:val="006B79DD"/>
    <w:rsid w:val="006C0BD2"/>
    <w:rsid w:val="006C0DC0"/>
    <w:rsid w:val="006C12C9"/>
    <w:rsid w:val="006C35FB"/>
    <w:rsid w:val="006C4832"/>
    <w:rsid w:val="006C5A3D"/>
    <w:rsid w:val="006C7898"/>
    <w:rsid w:val="006C7C75"/>
    <w:rsid w:val="006D05F4"/>
    <w:rsid w:val="006D10D6"/>
    <w:rsid w:val="006D2F6B"/>
    <w:rsid w:val="006D3D5E"/>
    <w:rsid w:val="006D456A"/>
    <w:rsid w:val="006D5E21"/>
    <w:rsid w:val="006E0335"/>
    <w:rsid w:val="006E0E17"/>
    <w:rsid w:val="006E2B5D"/>
    <w:rsid w:val="006E305E"/>
    <w:rsid w:val="006E4929"/>
    <w:rsid w:val="006E5102"/>
    <w:rsid w:val="006E6AFB"/>
    <w:rsid w:val="006F1E0E"/>
    <w:rsid w:val="006F43D9"/>
    <w:rsid w:val="006F4DB6"/>
    <w:rsid w:val="006F4E23"/>
    <w:rsid w:val="006F5836"/>
    <w:rsid w:val="006F59BA"/>
    <w:rsid w:val="006F5B51"/>
    <w:rsid w:val="006F6F31"/>
    <w:rsid w:val="007004E0"/>
    <w:rsid w:val="007037A2"/>
    <w:rsid w:val="0070412A"/>
    <w:rsid w:val="007068FD"/>
    <w:rsid w:val="00713230"/>
    <w:rsid w:val="007136F5"/>
    <w:rsid w:val="00713EA9"/>
    <w:rsid w:val="007204EE"/>
    <w:rsid w:val="0072180B"/>
    <w:rsid w:val="007219CC"/>
    <w:rsid w:val="007233C3"/>
    <w:rsid w:val="00723753"/>
    <w:rsid w:val="0072540B"/>
    <w:rsid w:val="00726337"/>
    <w:rsid w:val="00726A09"/>
    <w:rsid w:val="00727597"/>
    <w:rsid w:val="00727DE5"/>
    <w:rsid w:val="007329D0"/>
    <w:rsid w:val="00733B39"/>
    <w:rsid w:val="00735046"/>
    <w:rsid w:val="007442DF"/>
    <w:rsid w:val="007447EC"/>
    <w:rsid w:val="00745F18"/>
    <w:rsid w:val="00746568"/>
    <w:rsid w:val="00746879"/>
    <w:rsid w:val="00750248"/>
    <w:rsid w:val="007503C6"/>
    <w:rsid w:val="00750458"/>
    <w:rsid w:val="00750F25"/>
    <w:rsid w:val="007533BC"/>
    <w:rsid w:val="00754581"/>
    <w:rsid w:val="00754F4E"/>
    <w:rsid w:val="007579DF"/>
    <w:rsid w:val="007617AB"/>
    <w:rsid w:val="00761BD2"/>
    <w:rsid w:val="00762187"/>
    <w:rsid w:val="0076289B"/>
    <w:rsid w:val="007628EC"/>
    <w:rsid w:val="007633B0"/>
    <w:rsid w:val="00763DF9"/>
    <w:rsid w:val="00766F07"/>
    <w:rsid w:val="00770035"/>
    <w:rsid w:val="00771DA4"/>
    <w:rsid w:val="00773ED4"/>
    <w:rsid w:val="007771C7"/>
    <w:rsid w:val="0078004C"/>
    <w:rsid w:val="00781E68"/>
    <w:rsid w:val="00785CA4"/>
    <w:rsid w:val="00786D2C"/>
    <w:rsid w:val="0079029D"/>
    <w:rsid w:val="00791491"/>
    <w:rsid w:val="007936D6"/>
    <w:rsid w:val="00795B4B"/>
    <w:rsid w:val="007975BB"/>
    <w:rsid w:val="007A0FCF"/>
    <w:rsid w:val="007A163F"/>
    <w:rsid w:val="007A5098"/>
    <w:rsid w:val="007A6A98"/>
    <w:rsid w:val="007A7E87"/>
    <w:rsid w:val="007B409A"/>
    <w:rsid w:val="007B420C"/>
    <w:rsid w:val="007C08A4"/>
    <w:rsid w:val="007C2991"/>
    <w:rsid w:val="007C520E"/>
    <w:rsid w:val="007C64C7"/>
    <w:rsid w:val="007C6F3D"/>
    <w:rsid w:val="007C72C1"/>
    <w:rsid w:val="007D1AAB"/>
    <w:rsid w:val="007D1C80"/>
    <w:rsid w:val="007D2F1B"/>
    <w:rsid w:val="007D703F"/>
    <w:rsid w:val="007E0DE4"/>
    <w:rsid w:val="007E2375"/>
    <w:rsid w:val="007E289F"/>
    <w:rsid w:val="007E2AF0"/>
    <w:rsid w:val="007E3EB2"/>
    <w:rsid w:val="007E58D6"/>
    <w:rsid w:val="007E6573"/>
    <w:rsid w:val="007E7D50"/>
    <w:rsid w:val="007F2C49"/>
    <w:rsid w:val="007F2E97"/>
    <w:rsid w:val="007F35C3"/>
    <w:rsid w:val="007F5F8E"/>
    <w:rsid w:val="007F6C62"/>
    <w:rsid w:val="007F6CCA"/>
    <w:rsid w:val="008002BD"/>
    <w:rsid w:val="00802441"/>
    <w:rsid w:val="00802B33"/>
    <w:rsid w:val="00803967"/>
    <w:rsid w:val="008044C1"/>
    <w:rsid w:val="00804A8C"/>
    <w:rsid w:val="0080591C"/>
    <w:rsid w:val="008060E8"/>
    <w:rsid w:val="0081156F"/>
    <w:rsid w:val="008116AF"/>
    <w:rsid w:val="00811FB1"/>
    <w:rsid w:val="0081520E"/>
    <w:rsid w:val="00815765"/>
    <w:rsid w:val="0081637A"/>
    <w:rsid w:val="00817578"/>
    <w:rsid w:val="00820135"/>
    <w:rsid w:val="00823346"/>
    <w:rsid w:val="00827A00"/>
    <w:rsid w:val="008300E3"/>
    <w:rsid w:val="00833D2B"/>
    <w:rsid w:val="008356B6"/>
    <w:rsid w:val="00835D5A"/>
    <w:rsid w:val="008377A6"/>
    <w:rsid w:val="00837FBB"/>
    <w:rsid w:val="00840DEF"/>
    <w:rsid w:val="00842F09"/>
    <w:rsid w:val="00845649"/>
    <w:rsid w:val="008457F1"/>
    <w:rsid w:val="008470FA"/>
    <w:rsid w:val="00850193"/>
    <w:rsid w:val="00850A45"/>
    <w:rsid w:val="0085361B"/>
    <w:rsid w:val="0085363E"/>
    <w:rsid w:val="008561BD"/>
    <w:rsid w:val="008567A5"/>
    <w:rsid w:val="00856F82"/>
    <w:rsid w:val="008610ED"/>
    <w:rsid w:val="008614A8"/>
    <w:rsid w:val="00861B99"/>
    <w:rsid w:val="00862670"/>
    <w:rsid w:val="00863C35"/>
    <w:rsid w:val="00863CC0"/>
    <w:rsid w:val="00865DA6"/>
    <w:rsid w:val="0086656B"/>
    <w:rsid w:val="00870AF8"/>
    <w:rsid w:val="008719BA"/>
    <w:rsid w:val="00874706"/>
    <w:rsid w:val="008749C3"/>
    <w:rsid w:val="0087795C"/>
    <w:rsid w:val="00881706"/>
    <w:rsid w:val="0088214B"/>
    <w:rsid w:val="00882E0E"/>
    <w:rsid w:val="008842AA"/>
    <w:rsid w:val="00885396"/>
    <w:rsid w:val="00886BB9"/>
    <w:rsid w:val="00886BC6"/>
    <w:rsid w:val="00892A4B"/>
    <w:rsid w:val="00893111"/>
    <w:rsid w:val="008935D0"/>
    <w:rsid w:val="00895352"/>
    <w:rsid w:val="00896531"/>
    <w:rsid w:val="00897414"/>
    <w:rsid w:val="008A01E4"/>
    <w:rsid w:val="008A22C2"/>
    <w:rsid w:val="008A35EB"/>
    <w:rsid w:val="008A39EE"/>
    <w:rsid w:val="008A4360"/>
    <w:rsid w:val="008A6184"/>
    <w:rsid w:val="008A61A1"/>
    <w:rsid w:val="008B0579"/>
    <w:rsid w:val="008B0EB4"/>
    <w:rsid w:val="008B18C5"/>
    <w:rsid w:val="008B2B31"/>
    <w:rsid w:val="008B5119"/>
    <w:rsid w:val="008B5212"/>
    <w:rsid w:val="008B7DF8"/>
    <w:rsid w:val="008C1F1A"/>
    <w:rsid w:val="008C287C"/>
    <w:rsid w:val="008C3285"/>
    <w:rsid w:val="008C3645"/>
    <w:rsid w:val="008C380C"/>
    <w:rsid w:val="008C461A"/>
    <w:rsid w:val="008C58D2"/>
    <w:rsid w:val="008C5ECE"/>
    <w:rsid w:val="008C6756"/>
    <w:rsid w:val="008C6CC5"/>
    <w:rsid w:val="008C74C4"/>
    <w:rsid w:val="008D23FC"/>
    <w:rsid w:val="008D3995"/>
    <w:rsid w:val="008D530F"/>
    <w:rsid w:val="008D5FE4"/>
    <w:rsid w:val="008D6E2F"/>
    <w:rsid w:val="008D7DF8"/>
    <w:rsid w:val="008E5C0C"/>
    <w:rsid w:val="008E6939"/>
    <w:rsid w:val="008E6FCF"/>
    <w:rsid w:val="008F084C"/>
    <w:rsid w:val="008F1982"/>
    <w:rsid w:val="008F2E00"/>
    <w:rsid w:val="008F3FD0"/>
    <w:rsid w:val="008F4E49"/>
    <w:rsid w:val="008F5963"/>
    <w:rsid w:val="008F6820"/>
    <w:rsid w:val="009025E6"/>
    <w:rsid w:val="00902C36"/>
    <w:rsid w:val="009047C7"/>
    <w:rsid w:val="00906DB9"/>
    <w:rsid w:val="00907EAB"/>
    <w:rsid w:val="0091035D"/>
    <w:rsid w:val="00910B7A"/>
    <w:rsid w:val="00910E64"/>
    <w:rsid w:val="0091161D"/>
    <w:rsid w:val="009148AA"/>
    <w:rsid w:val="009157E3"/>
    <w:rsid w:val="0091598F"/>
    <w:rsid w:val="00915FC8"/>
    <w:rsid w:val="0092108F"/>
    <w:rsid w:val="009214F5"/>
    <w:rsid w:val="00923B22"/>
    <w:rsid w:val="009252A2"/>
    <w:rsid w:val="00925C80"/>
    <w:rsid w:val="00926229"/>
    <w:rsid w:val="0092658F"/>
    <w:rsid w:val="00926795"/>
    <w:rsid w:val="0092713A"/>
    <w:rsid w:val="0093147D"/>
    <w:rsid w:val="009316F1"/>
    <w:rsid w:val="00931733"/>
    <w:rsid w:val="00932C97"/>
    <w:rsid w:val="009340DE"/>
    <w:rsid w:val="00935FBE"/>
    <w:rsid w:val="0093715E"/>
    <w:rsid w:val="009377D0"/>
    <w:rsid w:val="0094036D"/>
    <w:rsid w:val="009419F5"/>
    <w:rsid w:val="009429CC"/>
    <w:rsid w:val="00943E7A"/>
    <w:rsid w:val="00944679"/>
    <w:rsid w:val="00944DEC"/>
    <w:rsid w:val="0094647A"/>
    <w:rsid w:val="00946C45"/>
    <w:rsid w:val="00947240"/>
    <w:rsid w:val="009507DF"/>
    <w:rsid w:val="00951AFF"/>
    <w:rsid w:val="00953F98"/>
    <w:rsid w:val="00960F8E"/>
    <w:rsid w:val="009623F8"/>
    <w:rsid w:val="00962604"/>
    <w:rsid w:val="00962BD7"/>
    <w:rsid w:val="00963B77"/>
    <w:rsid w:val="0096735C"/>
    <w:rsid w:val="00967790"/>
    <w:rsid w:val="00970E5F"/>
    <w:rsid w:val="00972AD1"/>
    <w:rsid w:val="00972B39"/>
    <w:rsid w:val="0097437D"/>
    <w:rsid w:val="00974766"/>
    <w:rsid w:val="009769A5"/>
    <w:rsid w:val="009801A6"/>
    <w:rsid w:val="009805C0"/>
    <w:rsid w:val="00982DFF"/>
    <w:rsid w:val="009840A5"/>
    <w:rsid w:val="00985196"/>
    <w:rsid w:val="00985DEB"/>
    <w:rsid w:val="00986885"/>
    <w:rsid w:val="009869EE"/>
    <w:rsid w:val="009874D6"/>
    <w:rsid w:val="00987ED0"/>
    <w:rsid w:val="00990A1F"/>
    <w:rsid w:val="00990FAB"/>
    <w:rsid w:val="00991BF3"/>
    <w:rsid w:val="009923A9"/>
    <w:rsid w:val="00993BD5"/>
    <w:rsid w:val="00994239"/>
    <w:rsid w:val="009952D4"/>
    <w:rsid w:val="009A0574"/>
    <w:rsid w:val="009A1829"/>
    <w:rsid w:val="009A1AF0"/>
    <w:rsid w:val="009A2336"/>
    <w:rsid w:val="009A2DB4"/>
    <w:rsid w:val="009A46CF"/>
    <w:rsid w:val="009A49E0"/>
    <w:rsid w:val="009A5766"/>
    <w:rsid w:val="009A59DB"/>
    <w:rsid w:val="009A6951"/>
    <w:rsid w:val="009A7E8E"/>
    <w:rsid w:val="009B311F"/>
    <w:rsid w:val="009B6847"/>
    <w:rsid w:val="009B772F"/>
    <w:rsid w:val="009C27A3"/>
    <w:rsid w:val="009C2C17"/>
    <w:rsid w:val="009C6E8C"/>
    <w:rsid w:val="009C7C82"/>
    <w:rsid w:val="009D25FA"/>
    <w:rsid w:val="009D441F"/>
    <w:rsid w:val="009D7C65"/>
    <w:rsid w:val="009E0876"/>
    <w:rsid w:val="009E091C"/>
    <w:rsid w:val="009E1355"/>
    <w:rsid w:val="009E14D7"/>
    <w:rsid w:val="009E241F"/>
    <w:rsid w:val="009E3980"/>
    <w:rsid w:val="009E3CA9"/>
    <w:rsid w:val="009E590A"/>
    <w:rsid w:val="009F0AD2"/>
    <w:rsid w:val="009F211A"/>
    <w:rsid w:val="009F2AC4"/>
    <w:rsid w:val="009F5AEB"/>
    <w:rsid w:val="009F63A3"/>
    <w:rsid w:val="00A0056B"/>
    <w:rsid w:val="00A01064"/>
    <w:rsid w:val="00A0116B"/>
    <w:rsid w:val="00A0247C"/>
    <w:rsid w:val="00A03AD8"/>
    <w:rsid w:val="00A0794A"/>
    <w:rsid w:val="00A102BC"/>
    <w:rsid w:val="00A10809"/>
    <w:rsid w:val="00A10DE4"/>
    <w:rsid w:val="00A11281"/>
    <w:rsid w:val="00A121C0"/>
    <w:rsid w:val="00A14CF0"/>
    <w:rsid w:val="00A14D82"/>
    <w:rsid w:val="00A17D1A"/>
    <w:rsid w:val="00A17F00"/>
    <w:rsid w:val="00A20E0E"/>
    <w:rsid w:val="00A21533"/>
    <w:rsid w:val="00A215E0"/>
    <w:rsid w:val="00A24E9C"/>
    <w:rsid w:val="00A254E3"/>
    <w:rsid w:val="00A26291"/>
    <w:rsid w:val="00A26612"/>
    <w:rsid w:val="00A2771A"/>
    <w:rsid w:val="00A30404"/>
    <w:rsid w:val="00A3086F"/>
    <w:rsid w:val="00A351E7"/>
    <w:rsid w:val="00A3603B"/>
    <w:rsid w:val="00A37103"/>
    <w:rsid w:val="00A374BA"/>
    <w:rsid w:val="00A40BF7"/>
    <w:rsid w:val="00A419E6"/>
    <w:rsid w:val="00A4281F"/>
    <w:rsid w:val="00A43833"/>
    <w:rsid w:val="00A43AA5"/>
    <w:rsid w:val="00A44202"/>
    <w:rsid w:val="00A462DD"/>
    <w:rsid w:val="00A53DD2"/>
    <w:rsid w:val="00A55CCD"/>
    <w:rsid w:val="00A5606F"/>
    <w:rsid w:val="00A560D5"/>
    <w:rsid w:val="00A563BA"/>
    <w:rsid w:val="00A5738F"/>
    <w:rsid w:val="00A60CC0"/>
    <w:rsid w:val="00A617C2"/>
    <w:rsid w:val="00A62362"/>
    <w:rsid w:val="00A62B83"/>
    <w:rsid w:val="00A639CD"/>
    <w:rsid w:val="00A646C6"/>
    <w:rsid w:val="00A65BFC"/>
    <w:rsid w:val="00A667ED"/>
    <w:rsid w:val="00A669B8"/>
    <w:rsid w:val="00A710A9"/>
    <w:rsid w:val="00A727FD"/>
    <w:rsid w:val="00A72B2D"/>
    <w:rsid w:val="00A73204"/>
    <w:rsid w:val="00A75B8A"/>
    <w:rsid w:val="00A76184"/>
    <w:rsid w:val="00A80137"/>
    <w:rsid w:val="00A8280B"/>
    <w:rsid w:val="00A829C2"/>
    <w:rsid w:val="00A82CA2"/>
    <w:rsid w:val="00A86E5F"/>
    <w:rsid w:val="00A916AA"/>
    <w:rsid w:val="00A91B50"/>
    <w:rsid w:val="00A9473F"/>
    <w:rsid w:val="00A96089"/>
    <w:rsid w:val="00AA2114"/>
    <w:rsid w:val="00AA2F86"/>
    <w:rsid w:val="00AA30FC"/>
    <w:rsid w:val="00AA3CBD"/>
    <w:rsid w:val="00AA563A"/>
    <w:rsid w:val="00AA6894"/>
    <w:rsid w:val="00AA7F98"/>
    <w:rsid w:val="00AB191C"/>
    <w:rsid w:val="00AB71C8"/>
    <w:rsid w:val="00AB7FDD"/>
    <w:rsid w:val="00AC1BF9"/>
    <w:rsid w:val="00AC2D33"/>
    <w:rsid w:val="00AC3031"/>
    <w:rsid w:val="00AD21A0"/>
    <w:rsid w:val="00AD53BC"/>
    <w:rsid w:val="00AE0054"/>
    <w:rsid w:val="00AE1D86"/>
    <w:rsid w:val="00AE5018"/>
    <w:rsid w:val="00AE686B"/>
    <w:rsid w:val="00AE6AAD"/>
    <w:rsid w:val="00AE7BE1"/>
    <w:rsid w:val="00AF07C8"/>
    <w:rsid w:val="00AF147A"/>
    <w:rsid w:val="00AF31A1"/>
    <w:rsid w:val="00AF5D91"/>
    <w:rsid w:val="00AF6F46"/>
    <w:rsid w:val="00AF7A37"/>
    <w:rsid w:val="00B03C14"/>
    <w:rsid w:val="00B0459E"/>
    <w:rsid w:val="00B058BA"/>
    <w:rsid w:val="00B07E96"/>
    <w:rsid w:val="00B105DC"/>
    <w:rsid w:val="00B10C5C"/>
    <w:rsid w:val="00B11072"/>
    <w:rsid w:val="00B11163"/>
    <w:rsid w:val="00B13B60"/>
    <w:rsid w:val="00B15C27"/>
    <w:rsid w:val="00B16FFF"/>
    <w:rsid w:val="00B221BE"/>
    <w:rsid w:val="00B22359"/>
    <w:rsid w:val="00B23C82"/>
    <w:rsid w:val="00B2470D"/>
    <w:rsid w:val="00B24B87"/>
    <w:rsid w:val="00B25838"/>
    <w:rsid w:val="00B26D98"/>
    <w:rsid w:val="00B30FAC"/>
    <w:rsid w:val="00B31520"/>
    <w:rsid w:val="00B31BE1"/>
    <w:rsid w:val="00B31F59"/>
    <w:rsid w:val="00B333ED"/>
    <w:rsid w:val="00B34F67"/>
    <w:rsid w:val="00B367C6"/>
    <w:rsid w:val="00B40C39"/>
    <w:rsid w:val="00B43511"/>
    <w:rsid w:val="00B43FFB"/>
    <w:rsid w:val="00B4574F"/>
    <w:rsid w:val="00B4588A"/>
    <w:rsid w:val="00B50ECA"/>
    <w:rsid w:val="00B534BD"/>
    <w:rsid w:val="00B54CEF"/>
    <w:rsid w:val="00B569D2"/>
    <w:rsid w:val="00B57060"/>
    <w:rsid w:val="00B627D0"/>
    <w:rsid w:val="00B62FA0"/>
    <w:rsid w:val="00B63047"/>
    <w:rsid w:val="00B64617"/>
    <w:rsid w:val="00B6463D"/>
    <w:rsid w:val="00B70FB7"/>
    <w:rsid w:val="00B7441E"/>
    <w:rsid w:val="00B817FD"/>
    <w:rsid w:val="00B84EF7"/>
    <w:rsid w:val="00B86EC7"/>
    <w:rsid w:val="00B92139"/>
    <w:rsid w:val="00B9502E"/>
    <w:rsid w:val="00B9690B"/>
    <w:rsid w:val="00B96A05"/>
    <w:rsid w:val="00B96CD3"/>
    <w:rsid w:val="00B96F28"/>
    <w:rsid w:val="00B97997"/>
    <w:rsid w:val="00BA00D5"/>
    <w:rsid w:val="00BA1FC7"/>
    <w:rsid w:val="00BB05B8"/>
    <w:rsid w:val="00BB30C8"/>
    <w:rsid w:val="00BB4B23"/>
    <w:rsid w:val="00BC34D6"/>
    <w:rsid w:val="00BC5883"/>
    <w:rsid w:val="00BD0E4A"/>
    <w:rsid w:val="00BD262B"/>
    <w:rsid w:val="00BD2942"/>
    <w:rsid w:val="00BD467E"/>
    <w:rsid w:val="00BD758E"/>
    <w:rsid w:val="00BD77E1"/>
    <w:rsid w:val="00BD7B6E"/>
    <w:rsid w:val="00BE0BAF"/>
    <w:rsid w:val="00BE16F8"/>
    <w:rsid w:val="00BE4B8E"/>
    <w:rsid w:val="00BE5CD9"/>
    <w:rsid w:val="00BE7F16"/>
    <w:rsid w:val="00BF0BB7"/>
    <w:rsid w:val="00BF17FB"/>
    <w:rsid w:val="00BF2307"/>
    <w:rsid w:val="00BF23A2"/>
    <w:rsid w:val="00BF282C"/>
    <w:rsid w:val="00BF37B0"/>
    <w:rsid w:val="00C02767"/>
    <w:rsid w:val="00C03F17"/>
    <w:rsid w:val="00C04E2F"/>
    <w:rsid w:val="00C05E89"/>
    <w:rsid w:val="00C07D2B"/>
    <w:rsid w:val="00C14552"/>
    <w:rsid w:val="00C1570A"/>
    <w:rsid w:val="00C21448"/>
    <w:rsid w:val="00C22B23"/>
    <w:rsid w:val="00C2318C"/>
    <w:rsid w:val="00C232E5"/>
    <w:rsid w:val="00C23A22"/>
    <w:rsid w:val="00C23D56"/>
    <w:rsid w:val="00C25550"/>
    <w:rsid w:val="00C30EDD"/>
    <w:rsid w:val="00C31ACD"/>
    <w:rsid w:val="00C32207"/>
    <w:rsid w:val="00C33A79"/>
    <w:rsid w:val="00C40A8E"/>
    <w:rsid w:val="00C428FC"/>
    <w:rsid w:val="00C43BF0"/>
    <w:rsid w:val="00C45B30"/>
    <w:rsid w:val="00C46312"/>
    <w:rsid w:val="00C47940"/>
    <w:rsid w:val="00C47C16"/>
    <w:rsid w:val="00C5160B"/>
    <w:rsid w:val="00C5173F"/>
    <w:rsid w:val="00C51B28"/>
    <w:rsid w:val="00C55A40"/>
    <w:rsid w:val="00C56AD5"/>
    <w:rsid w:val="00C56BDE"/>
    <w:rsid w:val="00C57051"/>
    <w:rsid w:val="00C57201"/>
    <w:rsid w:val="00C578A0"/>
    <w:rsid w:val="00C60442"/>
    <w:rsid w:val="00C612E4"/>
    <w:rsid w:val="00C6181D"/>
    <w:rsid w:val="00C64918"/>
    <w:rsid w:val="00C73515"/>
    <w:rsid w:val="00C7533C"/>
    <w:rsid w:val="00C75B78"/>
    <w:rsid w:val="00C75EBA"/>
    <w:rsid w:val="00C76FFC"/>
    <w:rsid w:val="00C80C61"/>
    <w:rsid w:val="00C8251D"/>
    <w:rsid w:val="00C82E33"/>
    <w:rsid w:val="00C83F72"/>
    <w:rsid w:val="00C842B4"/>
    <w:rsid w:val="00C91027"/>
    <w:rsid w:val="00C92BC0"/>
    <w:rsid w:val="00C94C67"/>
    <w:rsid w:val="00C9780E"/>
    <w:rsid w:val="00CA0372"/>
    <w:rsid w:val="00CA2B21"/>
    <w:rsid w:val="00CB035C"/>
    <w:rsid w:val="00CB093F"/>
    <w:rsid w:val="00CB195E"/>
    <w:rsid w:val="00CB1A11"/>
    <w:rsid w:val="00CB4DD0"/>
    <w:rsid w:val="00CC3D44"/>
    <w:rsid w:val="00CC6505"/>
    <w:rsid w:val="00CC7DD4"/>
    <w:rsid w:val="00CD08FB"/>
    <w:rsid w:val="00CD14CC"/>
    <w:rsid w:val="00CD1E96"/>
    <w:rsid w:val="00CD27CB"/>
    <w:rsid w:val="00CD2DB7"/>
    <w:rsid w:val="00CD486E"/>
    <w:rsid w:val="00CE5175"/>
    <w:rsid w:val="00CE5EC5"/>
    <w:rsid w:val="00CE63B8"/>
    <w:rsid w:val="00CE69B6"/>
    <w:rsid w:val="00CE7A0B"/>
    <w:rsid w:val="00CF5DC1"/>
    <w:rsid w:val="00CF5F0D"/>
    <w:rsid w:val="00CF6325"/>
    <w:rsid w:val="00CF6DA9"/>
    <w:rsid w:val="00CF7FD2"/>
    <w:rsid w:val="00D00905"/>
    <w:rsid w:val="00D024DD"/>
    <w:rsid w:val="00D03FFD"/>
    <w:rsid w:val="00D051A6"/>
    <w:rsid w:val="00D05C32"/>
    <w:rsid w:val="00D10829"/>
    <w:rsid w:val="00D13DEF"/>
    <w:rsid w:val="00D14F6B"/>
    <w:rsid w:val="00D15C72"/>
    <w:rsid w:val="00D22D40"/>
    <w:rsid w:val="00D2387D"/>
    <w:rsid w:val="00D23F31"/>
    <w:rsid w:val="00D25055"/>
    <w:rsid w:val="00D254C4"/>
    <w:rsid w:val="00D261D8"/>
    <w:rsid w:val="00D33B6D"/>
    <w:rsid w:val="00D357EC"/>
    <w:rsid w:val="00D35857"/>
    <w:rsid w:val="00D42C3B"/>
    <w:rsid w:val="00D42F11"/>
    <w:rsid w:val="00D4413B"/>
    <w:rsid w:val="00D44974"/>
    <w:rsid w:val="00D44B0F"/>
    <w:rsid w:val="00D4632A"/>
    <w:rsid w:val="00D50FB7"/>
    <w:rsid w:val="00D523FE"/>
    <w:rsid w:val="00D53A64"/>
    <w:rsid w:val="00D55312"/>
    <w:rsid w:val="00D55E38"/>
    <w:rsid w:val="00D56399"/>
    <w:rsid w:val="00D608B3"/>
    <w:rsid w:val="00D610CD"/>
    <w:rsid w:val="00D61B72"/>
    <w:rsid w:val="00D62E31"/>
    <w:rsid w:val="00D62EC2"/>
    <w:rsid w:val="00D63913"/>
    <w:rsid w:val="00D65D17"/>
    <w:rsid w:val="00D65E02"/>
    <w:rsid w:val="00D737F4"/>
    <w:rsid w:val="00D75E35"/>
    <w:rsid w:val="00D771E1"/>
    <w:rsid w:val="00D77340"/>
    <w:rsid w:val="00D7747C"/>
    <w:rsid w:val="00D8716F"/>
    <w:rsid w:val="00D9289F"/>
    <w:rsid w:val="00D940F1"/>
    <w:rsid w:val="00D9662F"/>
    <w:rsid w:val="00D972CF"/>
    <w:rsid w:val="00D97653"/>
    <w:rsid w:val="00DA45F4"/>
    <w:rsid w:val="00DA466B"/>
    <w:rsid w:val="00DA4677"/>
    <w:rsid w:val="00DA5B1C"/>
    <w:rsid w:val="00DA6397"/>
    <w:rsid w:val="00DA7D1D"/>
    <w:rsid w:val="00DB17AB"/>
    <w:rsid w:val="00DB4C9D"/>
    <w:rsid w:val="00DB6AF0"/>
    <w:rsid w:val="00DB6BD6"/>
    <w:rsid w:val="00DB733A"/>
    <w:rsid w:val="00DB7850"/>
    <w:rsid w:val="00DC1B8D"/>
    <w:rsid w:val="00DC1E9A"/>
    <w:rsid w:val="00DC3A2D"/>
    <w:rsid w:val="00DC42E1"/>
    <w:rsid w:val="00DC561B"/>
    <w:rsid w:val="00DC6513"/>
    <w:rsid w:val="00DC65FB"/>
    <w:rsid w:val="00DC7145"/>
    <w:rsid w:val="00DC75B2"/>
    <w:rsid w:val="00DC7610"/>
    <w:rsid w:val="00DD03E3"/>
    <w:rsid w:val="00DD4D3D"/>
    <w:rsid w:val="00DD4EC1"/>
    <w:rsid w:val="00DD5350"/>
    <w:rsid w:val="00DD5C43"/>
    <w:rsid w:val="00DD784F"/>
    <w:rsid w:val="00DD7D8B"/>
    <w:rsid w:val="00DE030B"/>
    <w:rsid w:val="00DE3D91"/>
    <w:rsid w:val="00DE4132"/>
    <w:rsid w:val="00DE7F7B"/>
    <w:rsid w:val="00DF1936"/>
    <w:rsid w:val="00DF31D0"/>
    <w:rsid w:val="00DF624D"/>
    <w:rsid w:val="00DF79A0"/>
    <w:rsid w:val="00E01BC8"/>
    <w:rsid w:val="00E0379A"/>
    <w:rsid w:val="00E044C8"/>
    <w:rsid w:val="00E05A99"/>
    <w:rsid w:val="00E05B4C"/>
    <w:rsid w:val="00E07D26"/>
    <w:rsid w:val="00E13423"/>
    <w:rsid w:val="00E14ED0"/>
    <w:rsid w:val="00E15CCA"/>
    <w:rsid w:val="00E179AC"/>
    <w:rsid w:val="00E204CD"/>
    <w:rsid w:val="00E21EF7"/>
    <w:rsid w:val="00E24E1A"/>
    <w:rsid w:val="00E256C9"/>
    <w:rsid w:val="00E2580B"/>
    <w:rsid w:val="00E25BEC"/>
    <w:rsid w:val="00E31572"/>
    <w:rsid w:val="00E31E68"/>
    <w:rsid w:val="00E3239D"/>
    <w:rsid w:val="00E33C12"/>
    <w:rsid w:val="00E34141"/>
    <w:rsid w:val="00E3569D"/>
    <w:rsid w:val="00E40BA7"/>
    <w:rsid w:val="00E41212"/>
    <w:rsid w:val="00E41A1A"/>
    <w:rsid w:val="00E46020"/>
    <w:rsid w:val="00E465B8"/>
    <w:rsid w:val="00E4677E"/>
    <w:rsid w:val="00E5723F"/>
    <w:rsid w:val="00E614D6"/>
    <w:rsid w:val="00E61B65"/>
    <w:rsid w:val="00E6212B"/>
    <w:rsid w:val="00E62DC2"/>
    <w:rsid w:val="00E62EC5"/>
    <w:rsid w:val="00E63DD9"/>
    <w:rsid w:val="00E64816"/>
    <w:rsid w:val="00E64EE8"/>
    <w:rsid w:val="00E66CB7"/>
    <w:rsid w:val="00E72EAE"/>
    <w:rsid w:val="00E73776"/>
    <w:rsid w:val="00E73B64"/>
    <w:rsid w:val="00E73E31"/>
    <w:rsid w:val="00E77E46"/>
    <w:rsid w:val="00E802E5"/>
    <w:rsid w:val="00E80618"/>
    <w:rsid w:val="00E8220D"/>
    <w:rsid w:val="00E84535"/>
    <w:rsid w:val="00E85758"/>
    <w:rsid w:val="00E861B9"/>
    <w:rsid w:val="00E86506"/>
    <w:rsid w:val="00E87FD2"/>
    <w:rsid w:val="00E90DD6"/>
    <w:rsid w:val="00E93F88"/>
    <w:rsid w:val="00E953D3"/>
    <w:rsid w:val="00E956BA"/>
    <w:rsid w:val="00E96BFC"/>
    <w:rsid w:val="00E97298"/>
    <w:rsid w:val="00EA2142"/>
    <w:rsid w:val="00EA2F2E"/>
    <w:rsid w:val="00EA5562"/>
    <w:rsid w:val="00EA6775"/>
    <w:rsid w:val="00EB0073"/>
    <w:rsid w:val="00EB1E4B"/>
    <w:rsid w:val="00EB35A9"/>
    <w:rsid w:val="00EB39C1"/>
    <w:rsid w:val="00EB5C3A"/>
    <w:rsid w:val="00EB609C"/>
    <w:rsid w:val="00EC066F"/>
    <w:rsid w:val="00EC4AB1"/>
    <w:rsid w:val="00ED2031"/>
    <w:rsid w:val="00ED3AB3"/>
    <w:rsid w:val="00ED40E0"/>
    <w:rsid w:val="00ED440D"/>
    <w:rsid w:val="00ED45C3"/>
    <w:rsid w:val="00EE2CB5"/>
    <w:rsid w:val="00EE3893"/>
    <w:rsid w:val="00EF09BE"/>
    <w:rsid w:val="00EF5420"/>
    <w:rsid w:val="00EF579E"/>
    <w:rsid w:val="00EF5D5A"/>
    <w:rsid w:val="00EF6723"/>
    <w:rsid w:val="00EF7335"/>
    <w:rsid w:val="00EF752D"/>
    <w:rsid w:val="00F00320"/>
    <w:rsid w:val="00F00553"/>
    <w:rsid w:val="00F018D7"/>
    <w:rsid w:val="00F05543"/>
    <w:rsid w:val="00F059E5"/>
    <w:rsid w:val="00F0661D"/>
    <w:rsid w:val="00F067E0"/>
    <w:rsid w:val="00F0709F"/>
    <w:rsid w:val="00F13527"/>
    <w:rsid w:val="00F16EFE"/>
    <w:rsid w:val="00F17154"/>
    <w:rsid w:val="00F226A1"/>
    <w:rsid w:val="00F262DE"/>
    <w:rsid w:val="00F30CB6"/>
    <w:rsid w:val="00F30FA1"/>
    <w:rsid w:val="00F32A99"/>
    <w:rsid w:val="00F3507C"/>
    <w:rsid w:val="00F358EA"/>
    <w:rsid w:val="00F4195A"/>
    <w:rsid w:val="00F432FE"/>
    <w:rsid w:val="00F43D03"/>
    <w:rsid w:val="00F473BE"/>
    <w:rsid w:val="00F4755C"/>
    <w:rsid w:val="00F5002D"/>
    <w:rsid w:val="00F50CFB"/>
    <w:rsid w:val="00F55B16"/>
    <w:rsid w:val="00F569F9"/>
    <w:rsid w:val="00F600B5"/>
    <w:rsid w:val="00F601D4"/>
    <w:rsid w:val="00F64776"/>
    <w:rsid w:val="00F64E10"/>
    <w:rsid w:val="00F6624B"/>
    <w:rsid w:val="00F66DF6"/>
    <w:rsid w:val="00F67F0F"/>
    <w:rsid w:val="00F702D8"/>
    <w:rsid w:val="00F70518"/>
    <w:rsid w:val="00F70691"/>
    <w:rsid w:val="00F70AD3"/>
    <w:rsid w:val="00F7272F"/>
    <w:rsid w:val="00F72E02"/>
    <w:rsid w:val="00F7327C"/>
    <w:rsid w:val="00F7463F"/>
    <w:rsid w:val="00F75816"/>
    <w:rsid w:val="00F8685B"/>
    <w:rsid w:val="00F912C3"/>
    <w:rsid w:val="00F927C7"/>
    <w:rsid w:val="00F93143"/>
    <w:rsid w:val="00F944EF"/>
    <w:rsid w:val="00F94832"/>
    <w:rsid w:val="00FA2EC6"/>
    <w:rsid w:val="00FA3162"/>
    <w:rsid w:val="00FA452D"/>
    <w:rsid w:val="00FA60C8"/>
    <w:rsid w:val="00FA7629"/>
    <w:rsid w:val="00FB050B"/>
    <w:rsid w:val="00FB0D83"/>
    <w:rsid w:val="00FB267E"/>
    <w:rsid w:val="00FB3E0B"/>
    <w:rsid w:val="00FB5E0A"/>
    <w:rsid w:val="00FB701B"/>
    <w:rsid w:val="00FC15C8"/>
    <w:rsid w:val="00FC2E24"/>
    <w:rsid w:val="00FC31E5"/>
    <w:rsid w:val="00FC3F09"/>
    <w:rsid w:val="00FC47FB"/>
    <w:rsid w:val="00FC73A2"/>
    <w:rsid w:val="00FD2062"/>
    <w:rsid w:val="00FD22E5"/>
    <w:rsid w:val="00FD30D1"/>
    <w:rsid w:val="00FD443E"/>
    <w:rsid w:val="00FD557F"/>
    <w:rsid w:val="00FD754D"/>
    <w:rsid w:val="00FE442C"/>
    <w:rsid w:val="00FE5ACB"/>
    <w:rsid w:val="00FE71EB"/>
    <w:rsid w:val="00FF00C5"/>
    <w:rsid w:val="00FF248F"/>
    <w:rsid w:val="00FF68B9"/>
    <w:rsid w:val="00FF68F8"/>
    <w:rsid w:val="01C52B8A"/>
    <w:rsid w:val="01F90D59"/>
    <w:rsid w:val="02264A9E"/>
    <w:rsid w:val="023804B1"/>
    <w:rsid w:val="02D635BB"/>
    <w:rsid w:val="034C15CD"/>
    <w:rsid w:val="05BE6220"/>
    <w:rsid w:val="06933491"/>
    <w:rsid w:val="06B95EEE"/>
    <w:rsid w:val="06C735AB"/>
    <w:rsid w:val="082C0877"/>
    <w:rsid w:val="083B64E6"/>
    <w:rsid w:val="09BA2B83"/>
    <w:rsid w:val="09C90B80"/>
    <w:rsid w:val="0A4C13DB"/>
    <w:rsid w:val="0A570253"/>
    <w:rsid w:val="0A7C21D5"/>
    <w:rsid w:val="0BEC7EA0"/>
    <w:rsid w:val="0C192F2A"/>
    <w:rsid w:val="0D436AAA"/>
    <w:rsid w:val="0D8616A1"/>
    <w:rsid w:val="0F3EAE38"/>
    <w:rsid w:val="0F577BE7"/>
    <w:rsid w:val="117017D8"/>
    <w:rsid w:val="117A2ECF"/>
    <w:rsid w:val="11A23C46"/>
    <w:rsid w:val="11A61DBC"/>
    <w:rsid w:val="128516FD"/>
    <w:rsid w:val="13867403"/>
    <w:rsid w:val="138E3AD9"/>
    <w:rsid w:val="13DD5A3C"/>
    <w:rsid w:val="14D341AB"/>
    <w:rsid w:val="14FA35A4"/>
    <w:rsid w:val="14FFE20E"/>
    <w:rsid w:val="156F5D8D"/>
    <w:rsid w:val="175A6951"/>
    <w:rsid w:val="17D80E5D"/>
    <w:rsid w:val="18863040"/>
    <w:rsid w:val="18AE550D"/>
    <w:rsid w:val="19420B64"/>
    <w:rsid w:val="19FE479F"/>
    <w:rsid w:val="1BCB648E"/>
    <w:rsid w:val="1C6D218D"/>
    <w:rsid w:val="1E570D28"/>
    <w:rsid w:val="1FB385F9"/>
    <w:rsid w:val="1FE91B92"/>
    <w:rsid w:val="23347291"/>
    <w:rsid w:val="257F5C9F"/>
    <w:rsid w:val="25D1396C"/>
    <w:rsid w:val="27F61126"/>
    <w:rsid w:val="29C15017"/>
    <w:rsid w:val="2A8D465A"/>
    <w:rsid w:val="2C801BC6"/>
    <w:rsid w:val="2D9C28CC"/>
    <w:rsid w:val="309F0C1A"/>
    <w:rsid w:val="31234BCD"/>
    <w:rsid w:val="3169578D"/>
    <w:rsid w:val="32F9774B"/>
    <w:rsid w:val="33F2F256"/>
    <w:rsid w:val="33FFED2D"/>
    <w:rsid w:val="36C42976"/>
    <w:rsid w:val="37B02184"/>
    <w:rsid w:val="37CD36B1"/>
    <w:rsid w:val="37FF393A"/>
    <w:rsid w:val="380F5149"/>
    <w:rsid w:val="382A7CAA"/>
    <w:rsid w:val="38536ED3"/>
    <w:rsid w:val="387725FA"/>
    <w:rsid w:val="38D641A2"/>
    <w:rsid w:val="39631561"/>
    <w:rsid w:val="39A33C74"/>
    <w:rsid w:val="3BC13901"/>
    <w:rsid w:val="3BDE60F0"/>
    <w:rsid w:val="3BFB9483"/>
    <w:rsid w:val="3D26782E"/>
    <w:rsid w:val="3D8328FB"/>
    <w:rsid w:val="3F5BE40E"/>
    <w:rsid w:val="3F6A5050"/>
    <w:rsid w:val="3FB96EEB"/>
    <w:rsid w:val="3FFA55D5"/>
    <w:rsid w:val="3FFFEE0B"/>
    <w:rsid w:val="41464F8F"/>
    <w:rsid w:val="41723032"/>
    <w:rsid w:val="43D84C74"/>
    <w:rsid w:val="43E2636A"/>
    <w:rsid w:val="44661D36"/>
    <w:rsid w:val="44855992"/>
    <w:rsid w:val="449874E5"/>
    <w:rsid w:val="467D1614"/>
    <w:rsid w:val="469475AC"/>
    <w:rsid w:val="46C13206"/>
    <w:rsid w:val="46F03B23"/>
    <w:rsid w:val="485D6518"/>
    <w:rsid w:val="48E10914"/>
    <w:rsid w:val="499F673A"/>
    <w:rsid w:val="4AE8321B"/>
    <w:rsid w:val="4B7C35C8"/>
    <w:rsid w:val="4B800939"/>
    <w:rsid w:val="4C1A048F"/>
    <w:rsid w:val="4C26199E"/>
    <w:rsid w:val="4C360414"/>
    <w:rsid w:val="4CA85C1C"/>
    <w:rsid w:val="4CED041B"/>
    <w:rsid w:val="4D3D205D"/>
    <w:rsid w:val="4D9755D1"/>
    <w:rsid w:val="4FBE309C"/>
    <w:rsid w:val="502F808A"/>
    <w:rsid w:val="509E2486"/>
    <w:rsid w:val="512113AA"/>
    <w:rsid w:val="512E6DE1"/>
    <w:rsid w:val="51E77B87"/>
    <w:rsid w:val="54CD6705"/>
    <w:rsid w:val="54FF4283"/>
    <w:rsid w:val="55E2288E"/>
    <w:rsid w:val="57315EF1"/>
    <w:rsid w:val="57626A3C"/>
    <w:rsid w:val="57BA58F3"/>
    <w:rsid w:val="57BB886E"/>
    <w:rsid w:val="58ED4B3A"/>
    <w:rsid w:val="58EF44E8"/>
    <w:rsid w:val="591D3208"/>
    <w:rsid w:val="591D447D"/>
    <w:rsid w:val="59772D15"/>
    <w:rsid w:val="59987F7D"/>
    <w:rsid w:val="59BB0AD9"/>
    <w:rsid w:val="5A1D5C5B"/>
    <w:rsid w:val="5AF62468"/>
    <w:rsid w:val="5B7D4AA8"/>
    <w:rsid w:val="5C2A3E31"/>
    <w:rsid w:val="5CDF6FD6"/>
    <w:rsid w:val="5CFA6768"/>
    <w:rsid w:val="5F777B38"/>
    <w:rsid w:val="5F90532A"/>
    <w:rsid w:val="5FFD6800"/>
    <w:rsid w:val="600B1B2F"/>
    <w:rsid w:val="60A31D4A"/>
    <w:rsid w:val="614F1D01"/>
    <w:rsid w:val="62112444"/>
    <w:rsid w:val="63E446CD"/>
    <w:rsid w:val="651939BA"/>
    <w:rsid w:val="67137A91"/>
    <w:rsid w:val="67EE9858"/>
    <w:rsid w:val="67F3D028"/>
    <w:rsid w:val="68A67C63"/>
    <w:rsid w:val="69EF74F0"/>
    <w:rsid w:val="6A247931"/>
    <w:rsid w:val="6AB973C7"/>
    <w:rsid w:val="6B3767D7"/>
    <w:rsid w:val="6B537F4A"/>
    <w:rsid w:val="6B6F1378"/>
    <w:rsid w:val="6B8604D9"/>
    <w:rsid w:val="6DC15218"/>
    <w:rsid w:val="6E8A7C3C"/>
    <w:rsid w:val="6EA36D2D"/>
    <w:rsid w:val="6EFFD205"/>
    <w:rsid w:val="6F30482E"/>
    <w:rsid w:val="6FBE59AE"/>
    <w:rsid w:val="6FDF40E9"/>
    <w:rsid w:val="6FEBA25A"/>
    <w:rsid w:val="6FFD3A25"/>
    <w:rsid w:val="702308FE"/>
    <w:rsid w:val="70447118"/>
    <w:rsid w:val="716B2E7C"/>
    <w:rsid w:val="723D0CF2"/>
    <w:rsid w:val="72E3016B"/>
    <w:rsid w:val="73F6015B"/>
    <w:rsid w:val="74852AEA"/>
    <w:rsid w:val="753307D4"/>
    <w:rsid w:val="75BCF451"/>
    <w:rsid w:val="77DC1961"/>
    <w:rsid w:val="77E46285"/>
    <w:rsid w:val="77FD4CE2"/>
    <w:rsid w:val="78FF4CE5"/>
    <w:rsid w:val="79F3692D"/>
    <w:rsid w:val="7B3304CA"/>
    <w:rsid w:val="7BBEFD12"/>
    <w:rsid w:val="7BF3BC36"/>
    <w:rsid w:val="7C4923CF"/>
    <w:rsid w:val="7C4B623D"/>
    <w:rsid w:val="7DBF1715"/>
    <w:rsid w:val="7DC1622C"/>
    <w:rsid w:val="7DE70258"/>
    <w:rsid w:val="7DF9EFDA"/>
    <w:rsid w:val="7DFFA378"/>
    <w:rsid w:val="7E386687"/>
    <w:rsid w:val="7E5270EE"/>
    <w:rsid w:val="7ED7D28C"/>
    <w:rsid w:val="7EF5E0EE"/>
    <w:rsid w:val="7F086C78"/>
    <w:rsid w:val="7F0F2F74"/>
    <w:rsid w:val="7F5D99AD"/>
    <w:rsid w:val="7F77C49B"/>
    <w:rsid w:val="7F7A44CD"/>
    <w:rsid w:val="7FBE64D2"/>
    <w:rsid w:val="7FEC11EE"/>
    <w:rsid w:val="7FF321B2"/>
    <w:rsid w:val="7FF6A3BE"/>
    <w:rsid w:val="7FF71407"/>
    <w:rsid w:val="7FFE62BE"/>
    <w:rsid w:val="7FFF9A40"/>
    <w:rsid w:val="975FC316"/>
    <w:rsid w:val="9BFB7951"/>
    <w:rsid w:val="9DD752D6"/>
    <w:rsid w:val="9E67C1D0"/>
    <w:rsid w:val="AB7DC06A"/>
    <w:rsid w:val="AE199D32"/>
    <w:rsid w:val="AFF740F2"/>
    <w:rsid w:val="B9D7C05D"/>
    <w:rsid w:val="BB9F19F5"/>
    <w:rsid w:val="BCEF609F"/>
    <w:rsid w:val="BFEA2705"/>
    <w:rsid w:val="C7DFF0E8"/>
    <w:rsid w:val="CFEB32E8"/>
    <w:rsid w:val="CFF12678"/>
    <w:rsid w:val="D57F2E75"/>
    <w:rsid w:val="D6FAE7F0"/>
    <w:rsid w:val="D7EFE3B6"/>
    <w:rsid w:val="D7FD7485"/>
    <w:rsid w:val="DAC5B23E"/>
    <w:rsid w:val="DAFF21E7"/>
    <w:rsid w:val="DDF3CEA1"/>
    <w:rsid w:val="DF7764C0"/>
    <w:rsid w:val="DFFF0873"/>
    <w:rsid w:val="E3E77FCD"/>
    <w:rsid w:val="E5BE61F1"/>
    <w:rsid w:val="EBFF9B38"/>
    <w:rsid w:val="EF66CED4"/>
    <w:rsid w:val="EFDB8316"/>
    <w:rsid w:val="EFF38A0A"/>
    <w:rsid w:val="F5BBD56C"/>
    <w:rsid w:val="F6BF5D53"/>
    <w:rsid w:val="F7ADD192"/>
    <w:rsid w:val="F7FD5A0C"/>
    <w:rsid w:val="F9FFD84B"/>
    <w:rsid w:val="FA17CE15"/>
    <w:rsid w:val="FAFF7E8D"/>
    <w:rsid w:val="FC7FFECE"/>
    <w:rsid w:val="FCFE5109"/>
    <w:rsid w:val="FDCFBAE9"/>
    <w:rsid w:val="FDDFACB5"/>
    <w:rsid w:val="FDF7B498"/>
    <w:rsid w:val="FEA5F194"/>
    <w:rsid w:val="FEEFD314"/>
    <w:rsid w:val="FEFAAC28"/>
    <w:rsid w:val="FEFD50BD"/>
    <w:rsid w:val="FF9F2818"/>
    <w:rsid w:val="FFCEB378"/>
    <w:rsid w:val="FFED3C5D"/>
    <w:rsid w:val="FFF873F7"/>
    <w:rsid w:val="FF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ascii="黑体" w:hAns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kern w:val="0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customStyle="1" w:styleId="18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19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1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2">
    <w:name w:val="font61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23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4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">
    <w:name w:val="font7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7">
    <w:name w:val="font3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customStyle="1" w:styleId="28">
    <w:name w:val="表格"/>
    <w:basedOn w:val="1"/>
    <w:qFormat/>
    <w:uiPriority w:val="0"/>
    <w:pPr>
      <w:widowControl/>
      <w:spacing w:after="50" w:afterLines="50" w:line="240" w:lineRule="exact"/>
      <w:jc w:val="left"/>
    </w:pPr>
    <w:rPr>
      <w:kern w:val="0"/>
    </w:rPr>
  </w:style>
  <w:style w:type="paragraph" w:customStyle="1" w:styleId="29">
    <w:name w:val="列项——（一级）"/>
    <w:qFormat/>
    <w:uiPriority w:val="0"/>
    <w:pPr>
      <w:widowControl w:val="0"/>
      <w:tabs>
        <w:tab w:val="left" w:pos="1140"/>
      </w:tabs>
      <w:spacing w:after="160" w:line="259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">
    <w:name w:val="标题1-1"/>
    <w:qFormat/>
    <w:uiPriority w:val="0"/>
    <w:pPr>
      <w:spacing w:before="100" w:beforeLines="100" w:after="50" w:afterLines="50"/>
      <w:ind w:firstLine="640" w:firstLineChars="200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31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32">
    <w:name w:val="正文1-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3">
    <w:name w:val="List Paragraph"/>
    <w:basedOn w:val="1"/>
    <w:qFormat/>
    <w:uiPriority w:val="34"/>
    <w:pPr>
      <w:ind w:firstLine="420"/>
    </w:pPr>
  </w:style>
  <w:style w:type="paragraph" w:customStyle="1" w:styleId="34">
    <w:name w:val="表标题"/>
    <w:basedOn w:val="1"/>
    <w:qFormat/>
    <w:uiPriority w:val="0"/>
    <w:pPr>
      <w:widowControl/>
      <w:spacing w:before="50" w:beforeLines="50" w:after="50" w:afterLines="50"/>
      <w:jc w:val="center"/>
    </w:pPr>
    <w:rPr>
      <w:rFonts w:eastAsia="黑体"/>
      <w:kern w:val="0"/>
    </w:rPr>
  </w:style>
  <w:style w:type="table" w:customStyle="1" w:styleId="35">
    <w:name w:val="网格型11"/>
    <w:basedOn w:val="13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36">
    <w:name w:val="网格型12"/>
    <w:basedOn w:val="13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7">
    <w:name w:val="标题 Char"/>
    <w:basedOn w:val="15"/>
    <w:link w:val="1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8">
    <w:name w:val="TOC Heading"/>
    <w:basedOn w:val="2"/>
    <w:next w:val="1"/>
    <w:semiHidden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paragraph" w:customStyle="1" w:styleId="39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C0FC4F-B1EC-44A3-BF79-908FAA08FA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13</Pages>
  <Words>1034</Words>
  <Characters>5900</Characters>
  <Lines>49</Lines>
  <Paragraphs>13</Paragraphs>
  <TotalTime>0</TotalTime>
  <ScaleCrop>false</ScaleCrop>
  <LinksUpToDate>false</LinksUpToDate>
  <CharactersWithSpaces>6921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2024-11-25T08:24:00Z</dcterms:created>
  <dc:creator>Xtzj.User</dc:creator>
  <cp:lastModifiedBy>咔咔咔啦啦啦</cp:lastModifiedBy>
  <cp:lastPrinted>2024-10-22T02:16:00Z</cp:lastPrinted>
  <dcterms:modified xsi:type="dcterms:W3CDTF">2024-12-02T02:19:02Z</dcterms:modified>
  <dc:title>（局发文式样）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